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B784" w14:textId="12615E0A" w:rsidR="00600AE1" w:rsidRPr="00F930DF" w:rsidRDefault="00600AE1" w:rsidP="00F930DF">
      <w:pPr>
        <w:jc w:val="center"/>
        <w:rPr>
          <w:b/>
          <w:sz w:val="36"/>
          <w:szCs w:val="36"/>
        </w:rPr>
      </w:pPr>
      <w:r w:rsidRPr="00F930DF">
        <w:rPr>
          <w:b/>
          <w:sz w:val="36"/>
          <w:szCs w:val="36"/>
        </w:rPr>
        <w:t>AODA Multi Year Accessibility Plan</w:t>
      </w:r>
    </w:p>
    <w:p w14:paraId="3C616D6A" w14:textId="04A28256" w:rsidR="00600AE1" w:rsidRPr="00F930DF" w:rsidRDefault="00600AE1" w:rsidP="00F930DF">
      <w:pPr>
        <w:jc w:val="center"/>
        <w:rPr>
          <w:b/>
          <w:sz w:val="36"/>
          <w:szCs w:val="36"/>
        </w:rPr>
      </w:pPr>
      <w:r w:rsidRPr="00F930DF">
        <w:rPr>
          <w:b/>
          <w:sz w:val="36"/>
          <w:szCs w:val="36"/>
        </w:rPr>
        <w:t>Southwestern Public Health (SWPH)</w:t>
      </w:r>
    </w:p>
    <w:p w14:paraId="6DA932D9" w14:textId="77777777" w:rsidR="00DA4EB4" w:rsidRDefault="00DA4EB4">
      <w:pPr>
        <w:rPr>
          <w:bCs/>
          <w:sz w:val="36"/>
          <w:szCs w:val="36"/>
        </w:rPr>
      </w:pPr>
      <w:r w:rsidRPr="00DA4EB4">
        <w:rPr>
          <w:bCs/>
          <w:sz w:val="36"/>
          <w:szCs w:val="36"/>
          <w:highlight w:val="yellow"/>
        </w:rPr>
        <w:t>The Accessibility for Ontarians with Disabilities Act, [1] (AODA)</w:t>
      </w:r>
      <w:r>
        <w:rPr>
          <w:bCs/>
          <w:sz w:val="36"/>
          <w:szCs w:val="36"/>
        </w:rPr>
        <w:t xml:space="preserve"> is Provincial Legislation with the purpose of developing, implementing and enforcing accessibility standards in order to achieve accessibility for persons with disabilities with respect to goods, services, facilities, accommodation, employment, buildings, structures and premises on or before January 1, 2025.</w:t>
      </w:r>
    </w:p>
    <w:p w14:paraId="1DDE4CC9" w14:textId="5C4C1407" w:rsidR="00600AE1" w:rsidRPr="00F930DF" w:rsidRDefault="00600AE1">
      <w:pPr>
        <w:rPr>
          <w:bCs/>
          <w:sz w:val="36"/>
          <w:szCs w:val="36"/>
        </w:rPr>
      </w:pPr>
      <w:r w:rsidRPr="00F930DF">
        <w:rPr>
          <w:bCs/>
          <w:sz w:val="36"/>
          <w:szCs w:val="36"/>
        </w:rPr>
        <w:t xml:space="preserve">Southwestern Public Health is committed to treating all people in a way that allows them to maintain their dignity and independence. We are committed to meeting the needs of people with disabilities. We will do so by preventing and removing barriers to accessibility and meeting the accessibility requirements under the Accessibility for Ontarians with </w:t>
      </w:r>
      <w:r w:rsidR="00B2660E" w:rsidRPr="00F930DF">
        <w:rPr>
          <w:bCs/>
          <w:sz w:val="36"/>
          <w:szCs w:val="36"/>
        </w:rPr>
        <w:t>Disabilities</w:t>
      </w:r>
      <w:r w:rsidRPr="00F930DF">
        <w:rPr>
          <w:bCs/>
          <w:sz w:val="36"/>
          <w:szCs w:val="36"/>
        </w:rPr>
        <w:t xml:space="preserve"> Act (2005).</w:t>
      </w:r>
    </w:p>
    <w:p w14:paraId="2D1CAE73" w14:textId="73723C26" w:rsidR="00600AE1" w:rsidRPr="00F930DF" w:rsidRDefault="00600AE1">
      <w:pPr>
        <w:rPr>
          <w:bCs/>
          <w:sz w:val="36"/>
          <w:szCs w:val="36"/>
        </w:rPr>
      </w:pPr>
      <w:r w:rsidRPr="00F930DF">
        <w:rPr>
          <w:bCs/>
          <w:sz w:val="36"/>
          <w:szCs w:val="36"/>
        </w:rPr>
        <w:t xml:space="preserve">SWPH has developed and will make available upon request, this Multi Year Accessibility Plan which outlines our commitment to improve opportunities for people with disabilities. The multi year plan provides detail about our General Requirements, Information and Communication, </w:t>
      </w:r>
      <w:r w:rsidR="00B2660E" w:rsidRPr="00F930DF">
        <w:rPr>
          <w:bCs/>
          <w:sz w:val="36"/>
          <w:szCs w:val="36"/>
        </w:rPr>
        <w:t>Employment,</w:t>
      </w:r>
      <w:r w:rsidRPr="00F930DF">
        <w:rPr>
          <w:bCs/>
          <w:sz w:val="36"/>
          <w:szCs w:val="36"/>
        </w:rPr>
        <w:t xml:space="preserve"> and the Design of Public Spaces Standards.</w:t>
      </w:r>
      <w:r w:rsidR="0080449A" w:rsidRPr="00F930DF">
        <w:rPr>
          <w:bCs/>
          <w:sz w:val="36"/>
          <w:szCs w:val="36"/>
        </w:rPr>
        <w:t xml:space="preserve"> SWPH Multi Year Plan provides details and requirements for the following </w:t>
      </w:r>
      <w:r w:rsidR="000B349B" w:rsidRPr="00F930DF">
        <w:rPr>
          <w:bCs/>
          <w:sz w:val="36"/>
          <w:szCs w:val="36"/>
        </w:rPr>
        <w:t>categories:</w:t>
      </w:r>
      <w:r w:rsidR="0080449A" w:rsidRPr="00F930DF">
        <w:rPr>
          <w:bCs/>
          <w:sz w:val="36"/>
          <w:szCs w:val="36"/>
        </w:rPr>
        <w:t xml:space="preserve"> General Requirements, Information and Communication, Employment and Design of Public Spaces Standard (Accessibility Standards for the Built Environment)</w:t>
      </w:r>
    </w:p>
    <w:p w14:paraId="7612E68A" w14:textId="77777777" w:rsidR="000B349B" w:rsidRDefault="000B349B" w:rsidP="00740336">
      <w:pPr>
        <w:ind w:right="1687" w:hanging="567"/>
        <w:rPr>
          <w:b/>
        </w:rPr>
      </w:pPr>
      <w:r>
        <w:rPr>
          <w:b/>
        </w:rPr>
        <w:br w:type="page"/>
      </w:r>
    </w:p>
    <w:p w14:paraId="5019E643" w14:textId="77777777" w:rsidR="00E23EA6" w:rsidRPr="00E23EA6" w:rsidRDefault="00E23EA6" w:rsidP="00795C3F">
      <w:pPr>
        <w:spacing w:line="240" w:lineRule="auto"/>
        <w:contextualSpacing/>
        <w:rPr>
          <w:b/>
        </w:rPr>
      </w:pPr>
    </w:p>
    <w:tbl>
      <w:tblPr>
        <w:tblStyle w:val="TableGrid"/>
        <w:tblW w:w="18712" w:type="dxa"/>
        <w:tblInd w:w="-754" w:type="dxa"/>
        <w:tblBorders>
          <w:top w:val="single" w:sz="36" w:space="0" w:color="95B3D7" w:themeColor="accent1" w:themeTint="99"/>
          <w:left w:val="single" w:sz="36" w:space="0" w:color="95B3D7" w:themeColor="accent1" w:themeTint="99"/>
          <w:bottom w:val="single" w:sz="36" w:space="0" w:color="95B3D7" w:themeColor="accent1" w:themeTint="99"/>
          <w:right w:val="single" w:sz="36" w:space="0" w:color="95B3D7" w:themeColor="accent1" w:themeTint="99"/>
          <w:insideH w:val="single" w:sz="36" w:space="0" w:color="95B3D7" w:themeColor="accent1" w:themeTint="99"/>
          <w:insideV w:val="single" w:sz="36" w:space="0" w:color="95B3D7" w:themeColor="accent1" w:themeTint="99"/>
        </w:tblBorders>
        <w:tblLayout w:type="fixed"/>
        <w:tblLook w:val="04A0" w:firstRow="1" w:lastRow="0" w:firstColumn="1" w:lastColumn="0" w:noHBand="0" w:noVBand="1"/>
      </w:tblPr>
      <w:tblGrid>
        <w:gridCol w:w="2127"/>
        <w:gridCol w:w="2977"/>
        <w:gridCol w:w="1842"/>
        <w:gridCol w:w="1560"/>
        <w:gridCol w:w="5386"/>
        <w:gridCol w:w="4820"/>
      </w:tblGrid>
      <w:tr w:rsidR="00740336" w:rsidRPr="0080449A" w14:paraId="591FFA77" w14:textId="69D2F4C2" w:rsidTr="00740336">
        <w:trPr>
          <w:trHeight w:val="778"/>
          <w:tblHeader/>
        </w:trPr>
        <w:tc>
          <w:tcPr>
            <w:tcW w:w="2127" w:type="dxa"/>
            <w:vAlign w:val="center"/>
          </w:tcPr>
          <w:p w14:paraId="3BEA840B" w14:textId="7F8C64B7" w:rsidR="00740336" w:rsidRPr="0080449A" w:rsidRDefault="00740336" w:rsidP="00B25A6A">
            <w:pPr>
              <w:jc w:val="center"/>
              <w:rPr>
                <w:b/>
              </w:rPr>
            </w:pPr>
            <w:r w:rsidRPr="0080449A">
              <w:rPr>
                <w:b/>
              </w:rPr>
              <w:t>Standard</w:t>
            </w:r>
          </w:p>
        </w:tc>
        <w:tc>
          <w:tcPr>
            <w:tcW w:w="2977" w:type="dxa"/>
            <w:vAlign w:val="center"/>
          </w:tcPr>
          <w:p w14:paraId="2ED861A1" w14:textId="70262FBF" w:rsidR="00740336" w:rsidRPr="0080449A" w:rsidRDefault="00740336" w:rsidP="00B25A6A">
            <w:pPr>
              <w:jc w:val="center"/>
              <w:rPr>
                <w:b/>
              </w:rPr>
            </w:pPr>
            <w:r w:rsidRPr="0080449A">
              <w:rPr>
                <w:b/>
              </w:rPr>
              <w:t>Requirement</w:t>
            </w:r>
          </w:p>
        </w:tc>
        <w:tc>
          <w:tcPr>
            <w:tcW w:w="1842" w:type="dxa"/>
            <w:vAlign w:val="center"/>
          </w:tcPr>
          <w:p w14:paraId="3E2629D7" w14:textId="51367E2E" w:rsidR="00740336" w:rsidRPr="0080449A" w:rsidRDefault="00740336" w:rsidP="00B25A6A">
            <w:pPr>
              <w:jc w:val="center"/>
              <w:rPr>
                <w:b/>
              </w:rPr>
            </w:pPr>
            <w:r w:rsidRPr="0080449A">
              <w:rPr>
                <w:b/>
              </w:rPr>
              <w:t>Required Compliance Date</w:t>
            </w:r>
          </w:p>
        </w:tc>
        <w:tc>
          <w:tcPr>
            <w:tcW w:w="1560" w:type="dxa"/>
            <w:vAlign w:val="center"/>
          </w:tcPr>
          <w:p w14:paraId="2637F453" w14:textId="2E9468C8" w:rsidR="00740336" w:rsidRPr="0080449A" w:rsidRDefault="00740336" w:rsidP="00B25A6A">
            <w:pPr>
              <w:jc w:val="center"/>
              <w:rPr>
                <w:b/>
              </w:rPr>
            </w:pPr>
            <w:r w:rsidRPr="0080449A">
              <w:rPr>
                <w:b/>
              </w:rPr>
              <w:t>Status</w:t>
            </w:r>
          </w:p>
        </w:tc>
        <w:tc>
          <w:tcPr>
            <w:tcW w:w="5386" w:type="dxa"/>
            <w:vAlign w:val="center"/>
          </w:tcPr>
          <w:p w14:paraId="66714167" w14:textId="4BA50612" w:rsidR="00740336" w:rsidRPr="0080449A" w:rsidRDefault="00740336" w:rsidP="00D30B0A">
            <w:pPr>
              <w:jc w:val="center"/>
              <w:rPr>
                <w:b/>
              </w:rPr>
            </w:pPr>
            <w:r w:rsidRPr="0080449A">
              <w:rPr>
                <w:b/>
              </w:rPr>
              <w:t>Method of Compliance</w:t>
            </w:r>
          </w:p>
        </w:tc>
        <w:tc>
          <w:tcPr>
            <w:tcW w:w="4820" w:type="dxa"/>
          </w:tcPr>
          <w:p w14:paraId="16AC6C8B" w14:textId="77777777" w:rsidR="00740336" w:rsidRDefault="00740336" w:rsidP="00D30B0A">
            <w:pPr>
              <w:jc w:val="center"/>
              <w:rPr>
                <w:b/>
              </w:rPr>
            </w:pPr>
          </w:p>
          <w:p w14:paraId="5D04B27B" w14:textId="00A61688" w:rsidR="00740336" w:rsidRPr="0080449A" w:rsidRDefault="00740336" w:rsidP="00D30B0A">
            <w:pPr>
              <w:jc w:val="center"/>
              <w:rPr>
                <w:b/>
              </w:rPr>
            </w:pPr>
            <w:r>
              <w:rPr>
                <w:b/>
              </w:rPr>
              <w:t>Responsibility</w:t>
            </w:r>
          </w:p>
        </w:tc>
      </w:tr>
      <w:tr w:rsidR="00740336" w:rsidRPr="00DA4EB4" w14:paraId="3B214667" w14:textId="18400A21" w:rsidTr="00740336">
        <w:tc>
          <w:tcPr>
            <w:tcW w:w="13892" w:type="dxa"/>
            <w:gridSpan w:val="5"/>
            <w:shd w:val="clear" w:color="auto" w:fill="C6D9F1" w:themeFill="text2" w:themeFillTint="33"/>
          </w:tcPr>
          <w:p w14:paraId="7DD6F927" w14:textId="0BC06B3D" w:rsidR="00740336" w:rsidRPr="00DA4EB4" w:rsidRDefault="00740336" w:rsidP="00D30B0A">
            <w:pPr>
              <w:rPr>
                <w:b/>
                <w:bCs/>
              </w:rPr>
            </w:pPr>
            <w:r w:rsidRPr="00DA4EB4">
              <w:rPr>
                <w:b/>
                <w:bCs/>
              </w:rPr>
              <w:t>General Requirements Category</w:t>
            </w:r>
          </w:p>
        </w:tc>
        <w:tc>
          <w:tcPr>
            <w:tcW w:w="4820" w:type="dxa"/>
            <w:shd w:val="clear" w:color="auto" w:fill="C6D9F1" w:themeFill="text2" w:themeFillTint="33"/>
          </w:tcPr>
          <w:p w14:paraId="6BD1479D" w14:textId="77777777" w:rsidR="00740336" w:rsidRPr="00DA4EB4" w:rsidRDefault="00740336" w:rsidP="00D30B0A">
            <w:pPr>
              <w:rPr>
                <w:b/>
                <w:bCs/>
              </w:rPr>
            </w:pPr>
          </w:p>
        </w:tc>
      </w:tr>
      <w:tr w:rsidR="00740336" w:rsidRPr="0080449A" w14:paraId="7AEFC193" w14:textId="56B531A5" w:rsidTr="00740336">
        <w:tc>
          <w:tcPr>
            <w:tcW w:w="2127" w:type="dxa"/>
          </w:tcPr>
          <w:p w14:paraId="1C1B30F9" w14:textId="71C2A91F" w:rsidR="00740336" w:rsidRPr="0080449A" w:rsidRDefault="00740336" w:rsidP="00D30B0A">
            <w:r w:rsidRPr="0080449A">
              <w:t>Establishment of Accessibility Policies</w:t>
            </w:r>
          </w:p>
        </w:tc>
        <w:tc>
          <w:tcPr>
            <w:tcW w:w="2977" w:type="dxa"/>
          </w:tcPr>
          <w:p w14:paraId="3B049669" w14:textId="77777777" w:rsidR="00740336" w:rsidRPr="0080449A" w:rsidRDefault="00740336" w:rsidP="00DC15C0">
            <w:pPr>
              <w:pStyle w:val="Default"/>
              <w:rPr>
                <w:rFonts w:ascii="Arial" w:eastAsia="Times New Roman" w:hAnsi="Arial" w:cs="Arial"/>
                <w:b/>
                <w:bCs/>
                <w:lang w:eastAsia="en-CA"/>
              </w:rPr>
            </w:pPr>
            <w:r w:rsidRPr="0080449A">
              <w:rPr>
                <w:rFonts w:ascii="Arial" w:hAnsi="Arial" w:cs="Arial"/>
                <w:b/>
                <w:bCs/>
              </w:rPr>
              <w:t xml:space="preserve">Sec. 3(2) </w:t>
            </w:r>
          </w:p>
          <w:p w14:paraId="372FBC27" w14:textId="4633C022" w:rsidR="00740336" w:rsidRPr="0080449A" w:rsidRDefault="00740336" w:rsidP="00DC15C0">
            <w:pPr>
              <w:pStyle w:val="Default"/>
              <w:rPr>
                <w:rFonts w:ascii="Arial" w:hAnsi="Arial" w:cs="Arial"/>
              </w:rPr>
            </w:pPr>
            <w:r w:rsidRPr="0080449A">
              <w:rPr>
                <w:rFonts w:ascii="Arial" w:hAnsi="Arial" w:cs="Arial"/>
              </w:rPr>
              <w:t xml:space="preserve">Shall include a statement of organizational commitment to meet the accessibility needs of persons with disabilities. </w:t>
            </w:r>
          </w:p>
          <w:p w14:paraId="1972675E" w14:textId="776CEDF5" w:rsidR="00740336" w:rsidRPr="0080449A" w:rsidRDefault="00740336" w:rsidP="00DC15C0">
            <w:pPr>
              <w:pStyle w:val="Default"/>
              <w:rPr>
                <w:rFonts w:ascii="Arial" w:eastAsia="Times New Roman" w:hAnsi="Arial" w:cs="Arial"/>
                <w:lang w:eastAsia="en-CA"/>
              </w:rPr>
            </w:pPr>
            <w:r w:rsidRPr="0080449A">
              <w:rPr>
                <w:rFonts w:ascii="Arial" w:hAnsi="Arial" w:cs="Arial"/>
                <w:b/>
                <w:bCs/>
              </w:rPr>
              <w:t xml:space="preserve">Sec. 3(3) </w:t>
            </w:r>
            <w:r w:rsidRPr="0080449A">
              <w:rPr>
                <w:rFonts w:ascii="Arial" w:hAnsi="Arial" w:cs="Arial"/>
              </w:rPr>
              <w:t xml:space="preserve">Prepare one or more written documents describing its policies. </w:t>
            </w:r>
          </w:p>
          <w:p w14:paraId="5A328B3C" w14:textId="37DA618B" w:rsidR="00740336" w:rsidRPr="0080449A" w:rsidRDefault="00740336" w:rsidP="004F6ED6">
            <w:pPr>
              <w:pStyle w:val="Default"/>
              <w:rPr>
                <w:rFonts w:ascii="Arial" w:eastAsia="Times New Roman" w:hAnsi="Arial" w:cs="Arial"/>
                <w:lang w:eastAsia="en-CA"/>
              </w:rPr>
            </w:pPr>
          </w:p>
        </w:tc>
        <w:tc>
          <w:tcPr>
            <w:tcW w:w="1842" w:type="dxa"/>
          </w:tcPr>
          <w:p w14:paraId="60146146" w14:textId="548B9A4A" w:rsidR="00740336" w:rsidRPr="0080449A" w:rsidRDefault="00740336" w:rsidP="00D30B0A">
            <w:r w:rsidRPr="0080449A">
              <w:t>January 1, 2014</w:t>
            </w:r>
          </w:p>
        </w:tc>
        <w:tc>
          <w:tcPr>
            <w:tcW w:w="1560" w:type="dxa"/>
          </w:tcPr>
          <w:p w14:paraId="7BC70313" w14:textId="164876B3" w:rsidR="00740336" w:rsidRDefault="00740336" w:rsidP="00D30B0A">
            <w:r w:rsidRPr="0080449A">
              <w:t>Compliant</w:t>
            </w:r>
            <w:r>
              <w:t xml:space="preserve"> and</w:t>
            </w:r>
          </w:p>
          <w:p w14:paraId="08E4AA87" w14:textId="0F951746" w:rsidR="00740336" w:rsidRPr="0080449A" w:rsidRDefault="00740336" w:rsidP="00D30B0A">
            <w:r>
              <w:t>revised in 2022.</w:t>
            </w:r>
          </w:p>
        </w:tc>
        <w:tc>
          <w:tcPr>
            <w:tcW w:w="5386" w:type="dxa"/>
          </w:tcPr>
          <w:p w14:paraId="752DADFE" w14:textId="0195FD90" w:rsidR="00740336" w:rsidRDefault="00740336" w:rsidP="00D30B0A">
            <w:r w:rsidRPr="0080449A">
              <w:t xml:space="preserve">Customer service policies related to accessibility can be found on the SWPH accessibility page of our website. </w:t>
            </w:r>
            <w:r>
              <w:t>All policies and procedures reviewed and revised in 2022 via a third party, AODA specialist.</w:t>
            </w:r>
          </w:p>
          <w:p w14:paraId="722D21CD" w14:textId="77777777" w:rsidR="00740336" w:rsidRPr="0080449A" w:rsidRDefault="00740336" w:rsidP="00D30B0A"/>
          <w:p w14:paraId="476EA654" w14:textId="4876A0EC" w:rsidR="00740336" w:rsidRPr="0080449A" w:rsidRDefault="00740336" w:rsidP="00DC15C0">
            <w:pPr>
              <w:rPr>
                <w:color w:val="FF0000"/>
              </w:rPr>
            </w:pPr>
          </w:p>
        </w:tc>
        <w:tc>
          <w:tcPr>
            <w:tcW w:w="4820" w:type="dxa"/>
          </w:tcPr>
          <w:p w14:paraId="2F79C384" w14:textId="54B793C3" w:rsidR="00740336" w:rsidRDefault="00740336" w:rsidP="00D30B0A">
            <w:r>
              <w:t>Office Manager</w:t>
            </w:r>
          </w:p>
          <w:p w14:paraId="21AC8F56" w14:textId="4E7D8C92" w:rsidR="00BD3BB4" w:rsidRDefault="00BD3BB4" w:rsidP="00D30B0A">
            <w:r>
              <w:t>Director, Finance and Facilities</w:t>
            </w:r>
          </w:p>
          <w:p w14:paraId="56B26FEF" w14:textId="7F13A3A4" w:rsidR="00740336" w:rsidRDefault="00740336" w:rsidP="00D30B0A">
            <w:r>
              <w:t>HR Manager</w:t>
            </w:r>
          </w:p>
          <w:p w14:paraId="4376A2B6" w14:textId="77777777" w:rsidR="00740336" w:rsidRDefault="00740336" w:rsidP="00D30B0A">
            <w:r>
              <w:t>Director, Corporate Services</w:t>
            </w:r>
          </w:p>
          <w:p w14:paraId="003E5818" w14:textId="64BB4359" w:rsidR="00740336" w:rsidRPr="0080449A" w:rsidRDefault="00740336" w:rsidP="00D30B0A"/>
        </w:tc>
      </w:tr>
      <w:tr w:rsidR="00740336" w:rsidRPr="0080449A" w14:paraId="2121719D" w14:textId="72C63954" w:rsidTr="00740336">
        <w:tc>
          <w:tcPr>
            <w:tcW w:w="2127" w:type="dxa"/>
          </w:tcPr>
          <w:p w14:paraId="34A45E43" w14:textId="23C12AA9" w:rsidR="00740336" w:rsidRPr="0080449A" w:rsidRDefault="00740336" w:rsidP="00DC15C0">
            <w:r w:rsidRPr="0080449A">
              <w:t>Accessibility Plans</w:t>
            </w:r>
          </w:p>
        </w:tc>
        <w:tc>
          <w:tcPr>
            <w:tcW w:w="2977" w:type="dxa"/>
          </w:tcPr>
          <w:p w14:paraId="7B0024BB" w14:textId="36C1E256" w:rsidR="00740336" w:rsidRPr="0080449A" w:rsidRDefault="00740336" w:rsidP="0080449A">
            <w:pPr>
              <w:pStyle w:val="Default"/>
              <w:rPr>
                <w:rFonts w:ascii="Arial" w:eastAsia="Times New Roman" w:hAnsi="Arial" w:cs="Arial"/>
              </w:rPr>
            </w:pPr>
            <w:r w:rsidRPr="0080449A">
              <w:rPr>
                <w:rFonts w:ascii="Arial" w:hAnsi="Arial" w:cs="Arial"/>
                <w:b/>
                <w:bCs/>
              </w:rPr>
              <w:t xml:space="preserve">Sec. 4(1) </w:t>
            </w:r>
            <w:r w:rsidRPr="0080449A">
              <w:rPr>
                <w:rFonts w:ascii="Arial" w:hAnsi="Arial" w:cs="Arial"/>
              </w:rPr>
              <w:t xml:space="preserve">Large organizations shall establish, implement, maintain, and document a multi-year accessibility plan, which outlines the organization’s strategy to prevent and remove barriers and meet its requirement under this Regulation. </w:t>
            </w:r>
          </w:p>
        </w:tc>
        <w:tc>
          <w:tcPr>
            <w:tcW w:w="1842" w:type="dxa"/>
          </w:tcPr>
          <w:p w14:paraId="707A5BD2" w14:textId="340F232C" w:rsidR="00740336" w:rsidRPr="0080449A" w:rsidRDefault="00740336" w:rsidP="00DC15C0">
            <w:r w:rsidRPr="0080449A">
              <w:t>January 1, 2014</w:t>
            </w:r>
          </w:p>
        </w:tc>
        <w:tc>
          <w:tcPr>
            <w:tcW w:w="1560" w:type="dxa"/>
          </w:tcPr>
          <w:p w14:paraId="6FEE4678" w14:textId="048207DE" w:rsidR="00740336" w:rsidRPr="0080449A" w:rsidRDefault="00740336" w:rsidP="00DC15C0">
            <w:r w:rsidRPr="0080449A">
              <w:t>Complaint</w:t>
            </w:r>
            <w:r>
              <w:t xml:space="preserve"> and revised in 2022</w:t>
            </w:r>
          </w:p>
        </w:tc>
        <w:tc>
          <w:tcPr>
            <w:tcW w:w="5386" w:type="dxa"/>
          </w:tcPr>
          <w:p w14:paraId="5ED6DA53" w14:textId="557DFC5E" w:rsidR="00740336" w:rsidRPr="0080449A" w:rsidRDefault="00740336" w:rsidP="00DC15C0">
            <w:pPr>
              <w:pStyle w:val="Default"/>
              <w:rPr>
                <w:rFonts w:ascii="Arial" w:hAnsi="Arial" w:cs="Arial"/>
              </w:rPr>
            </w:pPr>
            <w:r w:rsidRPr="0080449A">
              <w:rPr>
                <w:rFonts w:ascii="Arial" w:hAnsi="Arial" w:cs="Arial"/>
              </w:rPr>
              <w:t>SWPH</w:t>
            </w:r>
            <w:r>
              <w:rPr>
                <w:rFonts w:ascii="Arial" w:hAnsi="Arial" w:cs="Arial"/>
              </w:rPr>
              <w:t xml:space="preserve"> multi year accessibility plan revised in 2022 following review and revision of all AODA related policies, procedures, and materials.</w:t>
            </w:r>
            <w:r w:rsidRPr="0080449A">
              <w:rPr>
                <w:rFonts w:ascii="Arial" w:hAnsi="Arial" w:cs="Arial"/>
              </w:rPr>
              <w:t xml:space="preserve"> </w:t>
            </w:r>
          </w:p>
          <w:p w14:paraId="20F4D284" w14:textId="744038FB" w:rsidR="00740336" w:rsidRPr="0080449A" w:rsidRDefault="00740336" w:rsidP="00DC15C0">
            <w:pPr>
              <w:rPr>
                <w:color w:val="FF0000"/>
              </w:rPr>
            </w:pPr>
          </w:p>
        </w:tc>
        <w:tc>
          <w:tcPr>
            <w:tcW w:w="4820" w:type="dxa"/>
          </w:tcPr>
          <w:p w14:paraId="721B3D33" w14:textId="41869920" w:rsidR="00740336" w:rsidRDefault="00740336" w:rsidP="00740336">
            <w:r>
              <w:t>Office Manager</w:t>
            </w:r>
          </w:p>
          <w:p w14:paraId="63AD4387" w14:textId="6B8C5304" w:rsidR="00BD3BB4" w:rsidRDefault="00BD3BB4" w:rsidP="00740336">
            <w:r>
              <w:t>Director, Finance and Facilities</w:t>
            </w:r>
          </w:p>
          <w:p w14:paraId="1A07B7A1" w14:textId="77777777" w:rsidR="00740336" w:rsidRDefault="00740336" w:rsidP="00740336">
            <w:r>
              <w:t>HR Manager</w:t>
            </w:r>
          </w:p>
          <w:p w14:paraId="351C56C2" w14:textId="77777777" w:rsidR="00740336" w:rsidRDefault="00740336" w:rsidP="00740336">
            <w:r>
              <w:t>Director, Corporate Services</w:t>
            </w:r>
          </w:p>
          <w:p w14:paraId="39923697" w14:textId="77777777" w:rsidR="00740336" w:rsidRPr="0080449A" w:rsidRDefault="00740336" w:rsidP="00DC15C0">
            <w:pPr>
              <w:pStyle w:val="Default"/>
              <w:rPr>
                <w:rFonts w:ascii="Arial" w:hAnsi="Arial" w:cs="Arial"/>
              </w:rPr>
            </w:pPr>
          </w:p>
        </w:tc>
      </w:tr>
      <w:tr w:rsidR="00740336" w:rsidRPr="0080449A" w14:paraId="6C5ADA9F" w14:textId="39451673" w:rsidTr="00740336">
        <w:trPr>
          <w:trHeight w:val="3760"/>
        </w:trPr>
        <w:tc>
          <w:tcPr>
            <w:tcW w:w="2127" w:type="dxa"/>
          </w:tcPr>
          <w:p w14:paraId="1B106449" w14:textId="46B15094" w:rsidR="00740336" w:rsidRPr="0080449A" w:rsidRDefault="00740336" w:rsidP="00DC15C0">
            <w:r w:rsidRPr="0080449A">
              <w:lastRenderedPageBreak/>
              <w:t>Training</w:t>
            </w:r>
          </w:p>
        </w:tc>
        <w:tc>
          <w:tcPr>
            <w:tcW w:w="2977" w:type="dxa"/>
          </w:tcPr>
          <w:p w14:paraId="030A6CC5" w14:textId="594182B6" w:rsidR="00740336" w:rsidRPr="0080449A" w:rsidRDefault="00740336" w:rsidP="00BB5DF3">
            <w:pPr>
              <w:pStyle w:val="Default"/>
              <w:rPr>
                <w:rFonts w:ascii="Arial" w:hAnsi="Arial" w:cs="Arial"/>
              </w:rPr>
            </w:pPr>
            <w:r w:rsidRPr="0080449A">
              <w:rPr>
                <w:rFonts w:ascii="Arial" w:hAnsi="Arial" w:cs="Arial"/>
                <w:b/>
                <w:bCs/>
              </w:rPr>
              <w:t xml:space="preserve">Sec. 7 </w:t>
            </w:r>
            <w:r w:rsidRPr="0080449A">
              <w:rPr>
                <w:rFonts w:ascii="Arial" w:hAnsi="Arial" w:cs="Arial"/>
              </w:rPr>
              <w:t xml:space="preserve">Every obligated organization shall ensure training is provided on the requirements of the accessibility standards referred to in the Regulation and on the Human Rights Code as it pertains to person with disabilities. </w:t>
            </w:r>
          </w:p>
          <w:p w14:paraId="1CCE4706" w14:textId="1D1A6229" w:rsidR="00740336" w:rsidRPr="0080449A" w:rsidRDefault="00740336" w:rsidP="00DC15C0">
            <w:pPr>
              <w:shd w:val="clear" w:color="auto" w:fill="FFFFFF"/>
              <w:spacing w:before="100" w:beforeAutospacing="1" w:after="100" w:afterAutospacing="1"/>
            </w:pPr>
          </w:p>
        </w:tc>
        <w:tc>
          <w:tcPr>
            <w:tcW w:w="1842" w:type="dxa"/>
          </w:tcPr>
          <w:p w14:paraId="34B3AF5A" w14:textId="09B0125C" w:rsidR="00740336" w:rsidRPr="0080449A" w:rsidRDefault="00740336" w:rsidP="00DC15C0">
            <w:r w:rsidRPr="0080449A">
              <w:t>January 1, 2014</w:t>
            </w:r>
          </w:p>
        </w:tc>
        <w:tc>
          <w:tcPr>
            <w:tcW w:w="1560" w:type="dxa"/>
          </w:tcPr>
          <w:p w14:paraId="13A2922C" w14:textId="201C982D" w:rsidR="00740336" w:rsidRPr="0080449A" w:rsidRDefault="00740336" w:rsidP="00DC15C0">
            <w:r w:rsidRPr="0080449A">
              <w:t>Compliant</w:t>
            </w:r>
            <w:r>
              <w:t xml:space="preserve"> and revised in 2022.</w:t>
            </w:r>
          </w:p>
        </w:tc>
        <w:tc>
          <w:tcPr>
            <w:tcW w:w="5386" w:type="dxa"/>
          </w:tcPr>
          <w:p w14:paraId="1082603F" w14:textId="46F4B4C2" w:rsidR="00740336" w:rsidRDefault="00740336" w:rsidP="00DC15C0">
            <w:r>
              <w:t>All employees, board of health members, volunteers</w:t>
            </w:r>
            <w:r w:rsidR="00A649A0">
              <w:t>, students</w:t>
            </w:r>
            <w:r>
              <w:t xml:space="preserve">, or other persons who provide goods, </w:t>
            </w:r>
            <w:r w:rsidR="00A649A0">
              <w:t>services,</w:t>
            </w:r>
            <w:r>
              <w:t xml:space="preserve"> or facilities on behalf of the organization will be trained. Training will be appropriate to the duties of the individual being trained.  In addition to training completed via HR downloads (AODA Customer Service Standards and Understanding Human Rights (AODA Edition) the following actions were taken:</w:t>
            </w:r>
          </w:p>
          <w:p w14:paraId="135B5E29" w14:textId="77777777" w:rsidR="00740336" w:rsidRPr="00144837" w:rsidRDefault="00740336" w:rsidP="00DC15C0"/>
          <w:p w14:paraId="72F3788E" w14:textId="524A7536" w:rsidR="00740336" w:rsidRPr="000414E9" w:rsidRDefault="00740336" w:rsidP="000A7FD5">
            <w:pPr>
              <w:pStyle w:val="ListParagraph"/>
              <w:numPr>
                <w:ilvl w:val="0"/>
                <w:numId w:val="28"/>
              </w:numPr>
              <w:rPr>
                <w:rFonts w:cs="Arial"/>
                <w:szCs w:val="24"/>
              </w:rPr>
            </w:pPr>
            <w:r w:rsidRPr="000414E9">
              <w:t>Implemented an AODA Checklist for volunteers and students.</w:t>
            </w:r>
          </w:p>
          <w:p w14:paraId="3B4C51F2" w14:textId="570A7EEF" w:rsidR="00740336" w:rsidRPr="000414E9" w:rsidRDefault="00740336" w:rsidP="00881FEB">
            <w:pPr>
              <w:pStyle w:val="ListParagraph"/>
              <w:numPr>
                <w:ilvl w:val="0"/>
                <w:numId w:val="28"/>
              </w:numPr>
              <w:rPr>
                <w:rFonts w:cs="Arial"/>
                <w:szCs w:val="24"/>
              </w:rPr>
            </w:pPr>
            <w:r w:rsidRPr="000414E9">
              <w:t>Implemented and created a How-to Accessibility Information which is an AODA training supplement for volunteers and students.</w:t>
            </w:r>
          </w:p>
          <w:p w14:paraId="1B62E43E" w14:textId="5863B63A" w:rsidR="00740336" w:rsidRPr="000414E9" w:rsidRDefault="00740336" w:rsidP="00E43A1A">
            <w:pPr>
              <w:pStyle w:val="ListParagraph"/>
              <w:numPr>
                <w:ilvl w:val="0"/>
                <w:numId w:val="28"/>
              </w:numPr>
              <w:rPr>
                <w:rFonts w:cs="Arial"/>
                <w:szCs w:val="24"/>
              </w:rPr>
            </w:pPr>
            <w:r w:rsidRPr="000414E9">
              <w:t>Updated</w:t>
            </w:r>
            <w:r w:rsidR="00A649A0" w:rsidRPr="000414E9">
              <w:t xml:space="preserve"> existing o</w:t>
            </w:r>
            <w:r w:rsidRPr="000414E9">
              <w:t>nline AODA Training.</w:t>
            </w:r>
          </w:p>
          <w:p w14:paraId="195171E4" w14:textId="46A5BAFF" w:rsidR="00DA4EB4" w:rsidRPr="00DA4EB4" w:rsidRDefault="00740336" w:rsidP="00DA4EB4">
            <w:pPr>
              <w:pStyle w:val="ListParagraph"/>
              <w:numPr>
                <w:ilvl w:val="0"/>
                <w:numId w:val="28"/>
              </w:numPr>
              <w:rPr>
                <w:rFonts w:cs="Arial"/>
                <w:b/>
                <w:bCs/>
                <w:szCs w:val="24"/>
              </w:rPr>
            </w:pPr>
            <w:r w:rsidRPr="000414E9">
              <w:rPr>
                <w:rFonts w:cs="Arial"/>
                <w:szCs w:val="24"/>
              </w:rPr>
              <w:t>Implemented a refresher training program in addition to training initiated upon hire/start date in which all employees, board of health and volunteers are provided refresher AODA specific training on an annual basis.</w:t>
            </w:r>
          </w:p>
        </w:tc>
        <w:tc>
          <w:tcPr>
            <w:tcW w:w="4820" w:type="dxa"/>
          </w:tcPr>
          <w:p w14:paraId="1B391DF4" w14:textId="77777777" w:rsidR="00740336" w:rsidRDefault="00740336" w:rsidP="00740336">
            <w:r>
              <w:t>Office Manager</w:t>
            </w:r>
          </w:p>
          <w:p w14:paraId="68BFBB8A" w14:textId="7413B229" w:rsidR="00BD3BB4" w:rsidRDefault="00BD3BB4" w:rsidP="00740336">
            <w:r>
              <w:t>Director, Finance and Facilities</w:t>
            </w:r>
          </w:p>
          <w:p w14:paraId="793EEC6F" w14:textId="0159AFF3" w:rsidR="00740336" w:rsidRDefault="00740336" w:rsidP="00740336">
            <w:r>
              <w:t>HR Manager</w:t>
            </w:r>
          </w:p>
          <w:p w14:paraId="7E015382" w14:textId="77777777" w:rsidR="00740336" w:rsidRDefault="00740336" w:rsidP="00740336">
            <w:r>
              <w:t>Director, Corporate Services</w:t>
            </w:r>
          </w:p>
          <w:p w14:paraId="2A7AFA38" w14:textId="77777777" w:rsidR="00740336" w:rsidRDefault="00740336" w:rsidP="00DC15C0"/>
        </w:tc>
      </w:tr>
      <w:tr w:rsidR="00740336" w:rsidRPr="0080449A" w14:paraId="455CA6E1" w14:textId="4ADDF1E9" w:rsidTr="00740336">
        <w:trPr>
          <w:trHeight w:val="1074"/>
        </w:trPr>
        <w:tc>
          <w:tcPr>
            <w:tcW w:w="2127" w:type="dxa"/>
          </w:tcPr>
          <w:p w14:paraId="134BD342" w14:textId="2EC977CD" w:rsidR="00740336" w:rsidRPr="0080449A" w:rsidRDefault="00740336" w:rsidP="00DC15C0">
            <w:r w:rsidRPr="0080449A">
              <w:t>Accessibility Reports</w:t>
            </w:r>
          </w:p>
        </w:tc>
        <w:tc>
          <w:tcPr>
            <w:tcW w:w="2977" w:type="dxa"/>
          </w:tcPr>
          <w:p w14:paraId="182FD39B" w14:textId="67FB99FD" w:rsidR="00740336" w:rsidRPr="0080449A" w:rsidRDefault="00740336" w:rsidP="00BB5DF3">
            <w:pPr>
              <w:pStyle w:val="Default"/>
              <w:rPr>
                <w:rFonts w:ascii="Arial" w:hAnsi="Arial" w:cs="Arial"/>
              </w:rPr>
            </w:pPr>
            <w:r w:rsidRPr="0080449A">
              <w:rPr>
                <w:rFonts w:ascii="Arial" w:hAnsi="Arial" w:cs="Arial"/>
                <w:b/>
                <w:bCs/>
              </w:rPr>
              <w:t xml:space="preserve">Sec. 86.1 </w:t>
            </w:r>
            <w:r w:rsidRPr="0080449A">
              <w:rPr>
                <w:rFonts w:ascii="Arial" w:hAnsi="Arial" w:cs="Arial"/>
              </w:rPr>
              <w:t xml:space="preserve">Organizations shall file the accessibility report according to the following schedule: every three years in the case of large organizations. </w:t>
            </w:r>
          </w:p>
          <w:p w14:paraId="5EF44CC3" w14:textId="11386112" w:rsidR="00740336" w:rsidRPr="0080449A" w:rsidRDefault="00740336" w:rsidP="00DC15C0">
            <w:pPr>
              <w:pStyle w:val="Default"/>
              <w:rPr>
                <w:rFonts w:ascii="Arial" w:hAnsi="Arial" w:cs="Arial"/>
              </w:rPr>
            </w:pPr>
          </w:p>
        </w:tc>
        <w:tc>
          <w:tcPr>
            <w:tcW w:w="1842" w:type="dxa"/>
          </w:tcPr>
          <w:p w14:paraId="5D31C11C" w14:textId="12BD658C" w:rsidR="00740336" w:rsidRPr="0080449A" w:rsidRDefault="00740336" w:rsidP="00DC15C0">
            <w:r w:rsidRPr="0080449A">
              <w:lastRenderedPageBreak/>
              <w:t>January 1, 2015</w:t>
            </w:r>
          </w:p>
        </w:tc>
        <w:tc>
          <w:tcPr>
            <w:tcW w:w="1560" w:type="dxa"/>
          </w:tcPr>
          <w:p w14:paraId="58CA3B11" w14:textId="4244D3BE" w:rsidR="00740336" w:rsidRPr="0080449A" w:rsidRDefault="00740336" w:rsidP="00DC15C0">
            <w:r w:rsidRPr="0080449A">
              <w:t>Compliant</w:t>
            </w:r>
            <w:r>
              <w:t xml:space="preserve"> and ongoing</w:t>
            </w:r>
          </w:p>
        </w:tc>
        <w:tc>
          <w:tcPr>
            <w:tcW w:w="5386" w:type="dxa"/>
          </w:tcPr>
          <w:p w14:paraId="6148EA98" w14:textId="75A4F066" w:rsidR="00740336" w:rsidRPr="0080449A" w:rsidRDefault="00740336" w:rsidP="00BD3BB4">
            <w:r w:rsidRPr="0080449A">
              <w:t xml:space="preserve">Accessibility Reports were filed in accordance with the deadlines of December 31, 2014, December 31, 2017, and December 31, 2020, which was extended to June 30, 2021. SWPH will file the accessibility reports according to the schedule for large organizations, which is every </w:t>
            </w:r>
            <w:r w:rsidRPr="0080449A">
              <w:lastRenderedPageBreak/>
              <w:t>three years</w:t>
            </w:r>
            <w:r>
              <w:t xml:space="preserve"> with next being due December 31, 2023.</w:t>
            </w:r>
          </w:p>
        </w:tc>
        <w:tc>
          <w:tcPr>
            <w:tcW w:w="4820" w:type="dxa"/>
          </w:tcPr>
          <w:p w14:paraId="088CAF10" w14:textId="77777777" w:rsidR="00740336" w:rsidRDefault="00740336" w:rsidP="00DC15C0">
            <w:r>
              <w:lastRenderedPageBreak/>
              <w:t>Office Manager</w:t>
            </w:r>
          </w:p>
          <w:p w14:paraId="3F9660FE" w14:textId="58DADF84" w:rsidR="00740336" w:rsidRPr="0080449A" w:rsidRDefault="00740336" w:rsidP="00DC15C0">
            <w:r>
              <w:t xml:space="preserve">Director, Finance and Facilities </w:t>
            </w:r>
          </w:p>
        </w:tc>
      </w:tr>
      <w:tr w:rsidR="00740336" w:rsidRPr="00DA4EB4" w14:paraId="43A57374" w14:textId="0713D8F4" w:rsidTr="00740336">
        <w:tc>
          <w:tcPr>
            <w:tcW w:w="13892" w:type="dxa"/>
            <w:gridSpan w:val="5"/>
            <w:shd w:val="clear" w:color="auto" w:fill="C6D9F1" w:themeFill="text2" w:themeFillTint="33"/>
          </w:tcPr>
          <w:p w14:paraId="79516BE7" w14:textId="1C534C9F" w:rsidR="00740336" w:rsidRPr="00DA4EB4" w:rsidRDefault="00740336" w:rsidP="00DC15C0">
            <w:pPr>
              <w:rPr>
                <w:b/>
                <w:bCs/>
              </w:rPr>
            </w:pPr>
            <w:r w:rsidRPr="00DA4EB4">
              <w:rPr>
                <w:b/>
                <w:bCs/>
              </w:rPr>
              <w:t>Information and Communication Standard Category</w:t>
            </w:r>
          </w:p>
        </w:tc>
        <w:tc>
          <w:tcPr>
            <w:tcW w:w="4820" w:type="dxa"/>
            <w:shd w:val="clear" w:color="auto" w:fill="C6D9F1" w:themeFill="text2" w:themeFillTint="33"/>
          </w:tcPr>
          <w:p w14:paraId="1F76B29A" w14:textId="77777777" w:rsidR="00740336" w:rsidRPr="00DA4EB4" w:rsidRDefault="00740336" w:rsidP="00DC15C0">
            <w:pPr>
              <w:rPr>
                <w:b/>
                <w:bCs/>
              </w:rPr>
            </w:pPr>
          </w:p>
        </w:tc>
      </w:tr>
      <w:tr w:rsidR="00740336" w:rsidRPr="0080449A" w14:paraId="666F31D0" w14:textId="27AE8CFF" w:rsidTr="00740336">
        <w:tc>
          <w:tcPr>
            <w:tcW w:w="2127" w:type="dxa"/>
          </w:tcPr>
          <w:p w14:paraId="7481F82D" w14:textId="772F509E" w:rsidR="00740336" w:rsidRPr="0080449A" w:rsidRDefault="00740336" w:rsidP="00740336">
            <w:r w:rsidRPr="0080449A">
              <w:t>Feedback from Customers and Employees</w:t>
            </w:r>
          </w:p>
        </w:tc>
        <w:tc>
          <w:tcPr>
            <w:tcW w:w="2977" w:type="dxa"/>
          </w:tcPr>
          <w:p w14:paraId="37BC0EDF" w14:textId="5DC321EC" w:rsidR="00740336" w:rsidRPr="0080449A" w:rsidRDefault="00740336" w:rsidP="00740336">
            <w:pPr>
              <w:pStyle w:val="Default"/>
              <w:rPr>
                <w:rFonts w:ascii="Arial" w:hAnsi="Arial" w:cs="Arial"/>
              </w:rPr>
            </w:pPr>
            <w:r w:rsidRPr="0080449A">
              <w:rPr>
                <w:rFonts w:ascii="Arial" w:hAnsi="Arial" w:cs="Arial"/>
                <w:b/>
                <w:bCs/>
              </w:rPr>
              <w:t xml:space="preserve">Sec. 11 </w:t>
            </w:r>
            <w:r w:rsidRPr="0080449A">
              <w:rPr>
                <w:rFonts w:ascii="Arial" w:hAnsi="Arial" w:cs="Arial"/>
              </w:rPr>
              <w:t xml:space="preserve">Receiving and providing feedback in an accessible format. </w:t>
            </w:r>
          </w:p>
          <w:p w14:paraId="281A0EFD" w14:textId="3A4F5F1E" w:rsidR="00740336" w:rsidRPr="0080449A" w:rsidRDefault="00740336" w:rsidP="00740336">
            <w:pPr>
              <w:pStyle w:val="Default"/>
              <w:rPr>
                <w:rFonts w:ascii="Arial" w:hAnsi="Arial" w:cs="Arial"/>
              </w:rPr>
            </w:pPr>
          </w:p>
        </w:tc>
        <w:tc>
          <w:tcPr>
            <w:tcW w:w="1842" w:type="dxa"/>
          </w:tcPr>
          <w:p w14:paraId="60ACF63B" w14:textId="0AA89D59" w:rsidR="00740336" w:rsidRPr="0080449A" w:rsidRDefault="00740336" w:rsidP="00740336">
            <w:r w:rsidRPr="0080449A">
              <w:t>January 1, 2014</w:t>
            </w:r>
          </w:p>
        </w:tc>
        <w:tc>
          <w:tcPr>
            <w:tcW w:w="1560" w:type="dxa"/>
          </w:tcPr>
          <w:p w14:paraId="2C2487E1" w14:textId="43F08AA3" w:rsidR="00740336" w:rsidRPr="0080449A" w:rsidRDefault="00740336" w:rsidP="00740336">
            <w:r w:rsidRPr="0080449A">
              <w:t>Compliant</w:t>
            </w:r>
            <w:r>
              <w:t xml:space="preserve"> and revised in 2022</w:t>
            </w:r>
          </w:p>
        </w:tc>
        <w:tc>
          <w:tcPr>
            <w:tcW w:w="5386" w:type="dxa"/>
          </w:tcPr>
          <w:p w14:paraId="3E552F4D" w14:textId="32BA24A9" w:rsidR="00740336" w:rsidRPr="0080449A" w:rsidRDefault="00740336" w:rsidP="00740336">
            <w:r w:rsidRPr="0080449A">
              <w:t xml:space="preserve">SWPH has </w:t>
            </w:r>
            <w:r>
              <w:t>enhanced methods of feedback to include the fo</w:t>
            </w:r>
            <w:r w:rsidRPr="0080449A">
              <w:t>llowing methods:</w:t>
            </w:r>
          </w:p>
          <w:p w14:paraId="2AA5F4F5" w14:textId="53A767DF" w:rsidR="00740336" w:rsidRPr="0080449A" w:rsidRDefault="00740336" w:rsidP="00740336">
            <w:pPr>
              <w:pStyle w:val="ListParagraph"/>
              <w:numPr>
                <w:ilvl w:val="0"/>
                <w:numId w:val="26"/>
              </w:numPr>
              <w:rPr>
                <w:rFonts w:cs="Arial"/>
                <w:szCs w:val="24"/>
              </w:rPr>
            </w:pPr>
            <w:r w:rsidRPr="0080449A">
              <w:rPr>
                <w:rFonts w:cs="Arial"/>
                <w:szCs w:val="24"/>
              </w:rPr>
              <w:t xml:space="preserve">Downloading our Customer Feedback Form from our website at </w:t>
            </w:r>
            <w:hyperlink r:id="rId7" w:history="1">
              <w:r w:rsidRPr="0080449A">
                <w:rPr>
                  <w:rStyle w:val="Hyperlink"/>
                  <w:rFonts w:cs="Arial"/>
                  <w:szCs w:val="24"/>
                </w:rPr>
                <w:t>www.swpublichealth.ca</w:t>
              </w:r>
            </w:hyperlink>
            <w:r w:rsidRPr="0080449A">
              <w:rPr>
                <w:rFonts w:cs="Arial"/>
                <w:szCs w:val="24"/>
              </w:rPr>
              <w:t xml:space="preserve"> and mailing it to 1230 Talbot Street, St. Thomas, Ontario, </w:t>
            </w:r>
            <w:proofErr w:type="gramStart"/>
            <w:r w:rsidRPr="0080449A">
              <w:rPr>
                <w:rFonts w:cs="Arial"/>
                <w:szCs w:val="24"/>
              </w:rPr>
              <w:t>N5P1G9;</w:t>
            </w:r>
            <w:proofErr w:type="gramEnd"/>
            <w:r w:rsidRPr="0080449A">
              <w:rPr>
                <w:rFonts w:cs="Arial"/>
                <w:szCs w:val="24"/>
              </w:rPr>
              <w:t xml:space="preserve"> </w:t>
            </w:r>
          </w:p>
          <w:p w14:paraId="0C71FEE5" w14:textId="77777777" w:rsidR="00740336" w:rsidRPr="0080449A" w:rsidRDefault="00740336" w:rsidP="00740336">
            <w:pPr>
              <w:pStyle w:val="ListParagraph"/>
              <w:numPr>
                <w:ilvl w:val="0"/>
                <w:numId w:val="26"/>
              </w:numPr>
              <w:rPr>
                <w:rFonts w:cs="Arial"/>
                <w:szCs w:val="24"/>
              </w:rPr>
            </w:pPr>
            <w:r w:rsidRPr="0080449A">
              <w:rPr>
                <w:rFonts w:cs="Arial"/>
                <w:szCs w:val="24"/>
              </w:rPr>
              <w:t xml:space="preserve">Submitting our feedback form on-line on our website at </w:t>
            </w:r>
            <w:hyperlink r:id="rId8" w:history="1">
              <w:r w:rsidRPr="0080449A">
                <w:rPr>
                  <w:rStyle w:val="Hyperlink"/>
                  <w:rFonts w:cs="Arial"/>
                  <w:szCs w:val="24"/>
                </w:rPr>
                <w:t>www.swpublichealth.ca</w:t>
              </w:r>
            </w:hyperlink>
            <w:r w:rsidRPr="0080449A">
              <w:rPr>
                <w:rFonts w:cs="Arial"/>
                <w:szCs w:val="24"/>
              </w:rPr>
              <w:t xml:space="preserve">  </w:t>
            </w:r>
          </w:p>
          <w:p w14:paraId="1B775DD7" w14:textId="77777777" w:rsidR="00740336" w:rsidRPr="00A83CB4" w:rsidRDefault="00740336" w:rsidP="00740336">
            <w:pPr>
              <w:pStyle w:val="ListParagraph"/>
              <w:numPr>
                <w:ilvl w:val="0"/>
                <w:numId w:val="26"/>
              </w:numPr>
            </w:pPr>
            <w:r w:rsidRPr="00A83CB4">
              <w:t xml:space="preserve">Telephoning SWPH and asking to speak to the Executive Assistant (EA) to the Chief Executive Officer (CEO) at 519-631-9900 or 1-800-922-0096 </w:t>
            </w:r>
          </w:p>
          <w:p w14:paraId="72EE6A52" w14:textId="77777777" w:rsidR="00740336" w:rsidRPr="0080449A" w:rsidRDefault="00740336" w:rsidP="00740336">
            <w:pPr>
              <w:pStyle w:val="ListParagraph"/>
              <w:numPr>
                <w:ilvl w:val="0"/>
                <w:numId w:val="26"/>
              </w:numPr>
              <w:rPr>
                <w:rFonts w:cs="Arial"/>
                <w:szCs w:val="24"/>
              </w:rPr>
            </w:pPr>
            <w:r w:rsidRPr="0080449A">
              <w:rPr>
                <w:rFonts w:cs="Arial"/>
                <w:szCs w:val="24"/>
              </w:rPr>
              <w:t xml:space="preserve">Emailing us at </w:t>
            </w:r>
            <w:hyperlink r:id="rId9" w:history="1">
              <w:r w:rsidRPr="0080449A">
                <w:rPr>
                  <w:rStyle w:val="Hyperlink"/>
                  <w:rFonts w:cs="Arial"/>
                  <w:szCs w:val="24"/>
                </w:rPr>
                <w:t>information@swpublichealth.ca</w:t>
              </w:r>
            </w:hyperlink>
          </w:p>
          <w:p w14:paraId="4710C839" w14:textId="77777777" w:rsidR="00BD3BB4" w:rsidRPr="00BD3BB4" w:rsidRDefault="00740336" w:rsidP="00740336">
            <w:pPr>
              <w:pStyle w:val="ListParagraph"/>
              <w:numPr>
                <w:ilvl w:val="0"/>
                <w:numId w:val="26"/>
              </w:numPr>
              <w:rPr>
                <w:rFonts w:cs="Arial"/>
                <w:szCs w:val="24"/>
              </w:rPr>
            </w:pPr>
            <w:r w:rsidRPr="00BD3BB4">
              <w:rPr>
                <w:rFonts w:cs="Arial"/>
                <w:szCs w:val="24"/>
              </w:rPr>
              <w:t>Writing and mailing a letter to: Southwestern Public Health</w:t>
            </w:r>
          </w:p>
          <w:p w14:paraId="3DB817B9" w14:textId="77777777" w:rsidR="00BD3BB4" w:rsidRPr="00BD3BB4" w:rsidRDefault="00BD3BB4" w:rsidP="00BD3BB4">
            <w:pPr>
              <w:pStyle w:val="ListParagraph"/>
              <w:ind w:firstLine="0"/>
              <w:rPr>
                <w:rFonts w:cs="Arial"/>
                <w:szCs w:val="24"/>
              </w:rPr>
            </w:pPr>
            <w:r w:rsidRPr="00BD3BB4">
              <w:rPr>
                <w:rFonts w:cs="Arial"/>
                <w:szCs w:val="24"/>
              </w:rPr>
              <w:t>Attention:</w:t>
            </w:r>
            <w:r w:rsidR="00740336" w:rsidRPr="00BD3BB4">
              <w:rPr>
                <w:rFonts w:cs="Arial"/>
                <w:szCs w:val="24"/>
              </w:rPr>
              <w:t xml:space="preserve"> Executive Assistant to the CEO 1230 Talbot Street </w:t>
            </w:r>
          </w:p>
          <w:p w14:paraId="0C5AF90F" w14:textId="0782BDCD" w:rsidR="00740336" w:rsidRPr="00BD3BB4" w:rsidRDefault="00740336" w:rsidP="00BD3BB4">
            <w:pPr>
              <w:pStyle w:val="ListParagraph"/>
              <w:ind w:firstLine="0"/>
              <w:rPr>
                <w:rFonts w:cs="Arial"/>
                <w:szCs w:val="24"/>
              </w:rPr>
            </w:pPr>
            <w:r w:rsidRPr="00BD3BB4">
              <w:rPr>
                <w:rFonts w:cs="Arial"/>
                <w:szCs w:val="24"/>
              </w:rPr>
              <w:t>St. Thomas, ON N5P 1G9</w:t>
            </w:r>
          </w:p>
          <w:p w14:paraId="3F696CE8" w14:textId="1028195D" w:rsidR="00740336" w:rsidRPr="00BD3BB4" w:rsidRDefault="00740336" w:rsidP="00BD3BB4">
            <w:pPr>
              <w:pStyle w:val="ListParagraph"/>
              <w:numPr>
                <w:ilvl w:val="0"/>
                <w:numId w:val="26"/>
              </w:numPr>
              <w:rPr>
                <w:color w:val="FF0000"/>
              </w:rPr>
            </w:pPr>
            <w:r w:rsidRPr="00BD3BB4">
              <w:t>Through conversation with any SWPH employee</w:t>
            </w:r>
          </w:p>
        </w:tc>
        <w:tc>
          <w:tcPr>
            <w:tcW w:w="4820" w:type="dxa"/>
          </w:tcPr>
          <w:p w14:paraId="5A1C8208" w14:textId="77777777" w:rsidR="00740336" w:rsidRDefault="00740336" w:rsidP="00740336">
            <w:r>
              <w:t>Office Manager</w:t>
            </w:r>
          </w:p>
          <w:p w14:paraId="45359A50" w14:textId="77777777" w:rsidR="00740336" w:rsidRDefault="00740336" w:rsidP="00740336">
            <w:r>
              <w:t xml:space="preserve">Director, Finance and Facilities </w:t>
            </w:r>
          </w:p>
          <w:p w14:paraId="298E83E4" w14:textId="77777777" w:rsidR="00BD3BB4" w:rsidRDefault="00BD3BB4" w:rsidP="00740336">
            <w:r>
              <w:t>Communication</w:t>
            </w:r>
            <w:r w:rsidR="00866073">
              <w:t>s Manager</w:t>
            </w:r>
          </w:p>
          <w:p w14:paraId="6E63DE50" w14:textId="45F16B8A" w:rsidR="00866073" w:rsidRPr="0080449A" w:rsidRDefault="00866073" w:rsidP="00740336">
            <w:r>
              <w:t>Director, Corporate Services</w:t>
            </w:r>
          </w:p>
        </w:tc>
      </w:tr>
      <w:tr w:rsidR="00740336" w:rsidRPr="0080449A" w14:paraId="6378E872" w14:textId="08548E70" w:rsidTr="00740336">
        <w:tc>
          <w:tcPr>
            <w:tcW w:w="2127" w:type="dxa"/>
            <w:vMerge w:val="restart"/>
          </w:tcPr>
          <w:p w14:paraId="692628B7" w14:textId="41B03136" w:rsidR="00740336" w:rsidRPr="0080449A" w:rsidRDefault="00740336" w:rsidP="00740336">
            <w:r w:rsidRPr="0080449A">
              <w:lastRenderedPageBreak/>
              <w:t>Accessible Formats and Communications Supports.</w:t>
            </w:r>
          </w:p>
        </w:tc>
        <w:tc>
          <w:tcPr>
            <w:tcW w:w="2977" w:type="dxa"/>
          </w:tcPr>
          <w:p w14:paraId="49A53458" w14:textId="77777777" w:rsidR="00740336" w:rsidRPr="0080449A" w:rsidRDefault="00740336" w:rsidP="00740336">
            <w:pPr>
              <w:pStyle w:val="Default"/>
              <w:rPr>
                <w:rFonts w:ascii="Arial" w:hAnsi="Arial" w:cs="Arial"/>
              </w:rPr>
            </w:pPr>
            <w:r w:rsidRPr="0080449A">
              <w:rPr>
                <w:rFonts w:ascii="Arial" w:hAnsi="Arial" w:cs="Arial"/>
                <w:b/>
                <w:bCs/>
              </w:rPr>
              <w:t xml:space="preserve">Sec. 12 </w:t>
            </w:r>
            <w:r w:rsidRPr="0080449A">
              <w:rPr>
                <w:rFonts w:ascii="Arial" w:hAnsi="Arial" w:cs="Arial"/>
              </w:rPr>
              <w:t xml:space="preserve">Information about their goods and services or facilities </w:t>
            </w:r>
          </w:p>
          <w:p w14:paraId="77F4F342" w14:textId="6E35DED0" w:rsidR="00740336" w:rsidRPr="0080449A" w:rsidRDefault="00740336" w:rsidP="00740336">
            <w:pPr>
              <w:shd w:val="clear" w:color="auto" w:fill="FFFFFF"/>
              <w:spacing w:before="100" w:beforeAutospacing="1" w:after="100" w:afterAutospacing="1"/>
              <w:rPr>
                <w:rFonts w:eastAsia="Times New Roman"/>
                <w:lang w:eastAsia="en-CA"/>
              </w:rPr>
            </w:pPr>
          </w:p>
        </w:tc>
        <w:tc>
          <w:tcPr>
            <w:tcW w:w="1842" w:type="dxa"/>
            <w:vMerge w:val="restart"/>
          </w:tcPr>
          <w:p w14:paraId="0B2511B5" w14:textId="66E850E8" w:rsidR="00740336" w:rsidRPr="0080449A" w:rsidRDefault="00740336" w:rsidP="00740336">
            <w:r w:rsidRPr="0080449A">
              <w:t>January 1, 2015</w:t>
            </w:r>
          </w:p>
        </w:tc>
        <w:tc>
          <w:tcPr>
            <w:tcW w:w="1560" w:type="dxa"/>
            <w:vMerge w:val="restart"/>
          </w:tcPr>
          <w:p w14:paraId="2825016E" w14:textId="48922FE7" w:rsidR="00740336" w:rsidRPr="0080449A" w:rsidRDefault="00740336" w:rsidP="00740336">
            <w:r w:rsidRPr="0080449A">
              <w:t>Compliant</w:t>
            </w:r>
            <w:r>
              <w:t xml:space="preserve"> and revised in 2022.</w:t>
            </w:r>
          </w:p>
        </w:tc>
        <w:tc>
          <w:tcPr>
            <w:tcW w:w="5386" w:type="dxa"/>
          </w:tcPr>
          <w:p w14:paraId="2EB4A70A" w14:textId="273706B0" w:rsidR="00740336" w:rsidRPr="0080449A" w:rsidRDefault="00740336" w:rsidP="00740336">
            <w:r w:rsidRPr="0080449A">
              <w:t xml:space="preserve">Upon request, SWPH will arrange for the provision of accessible formats for persons with disabilities. </w:t>
            </w:r>
            <w:r>
              <w:t xml:space="preserve">In addition to the longstanding </w:t>
            </w:r>
            <w:hyperlink r:id="rId10" w:history="1">
              <w:r w:rsidRPr="00BE0EF5">
                <w:rPr>
                  <w:rStyle w:val="Hyperlink"/>
                </w:rPr>
                <w:t>accessibility@swpublichealth.ca</w:t>
              </w:r>
            </w:hyperlink>
            <w:r>
              <w:t xml:space="preserve"> email, SWPH created and implemented the </w:t>
            </w:r>
            <w:r w:rsidRPr="000414E9">
              <w:rPr>
                <w:b/>
                <w:bCs/>
                <w:highlight w:val="yellow"/>
              </w:rPr>
              <w:t>Alternate Document Request Form</w:t>
            </w:r>
            <w:r>
              <w:rPr>
                <w:b/>
                <w:bCs/>
              </w:rPr>
              <w:t xml:space="preserve"> </w:t>
            </w:r>
            <w:r>
              <w:t>available on our website.</w:t>
            </w:r>
          </w:p>
        </w:tc>
        <w:tc>
          <w:tcPr>
            <w:tcW w:w="4820" w:type="dxa"/>
          </w:tcPr>
          <w:p w14:paraId="426F7EC1" w14:textId="77777777" w:rsidR="00740336" w:rsidRPr="00866073" w:rsidRDefault="00740336" w:rsidP="00740336">
            <w:r w:rsidRPr="00866073">
              <w:t>Office Manager</w:t>
            </w:r>
          </w:p>
          <w:p w14:paraId="4A5E819D" w14:textId="77777777" w:rsidR="00740336" w:rsidRPr="00866073" w:rsidRDefault="00740336" w:rsidP="00740336">
            <w:r w:rsidRPr="00866073">
              <w:t>Director, Finance and Facilities</w:t>
            </w:r>
          </w:p>
          <w:p w14:paraId="1510AF6F" w14:textId="77777777" w:rsidR="00866073" w:rsidRDefault="00740336" w:rsidP="00740336">
            <w:r w:rsidRPr="00866073">
              <w:t>Communications</w:t>
            </w:r>
            <w:r w:rsidR="00866073">
              <w:t xml:space="preserve"> Manager</w:t>
            </w:r>
          </w:p>
          <w:p w14:paraId="4F1FABA4" w14:textId="77777777" w:rsidR="00866073" w:rsidRDefault="00866073" w:rsidP="00740336">
            <w:r>
              <w:t>Director, Corporate Services</w:t>
            </w:r>
          </w:p>
          <w:p w14:paraId="2EE91D67" w14:textId="12D6A25E" w:rsidR="00740336" w:rsidRPr="0080449A" w:rsidRDefault="00740336" w:rsidP="00740336">
            <w:r>
              <w:t xml:space="preserve"> </w:t>
            </w:r>
          </w:p>
        </w:tc>
      </w:tr>
      <w:tr w:rsidR="00740336" w:rsidRPr="0080449A" w14:paraId="3C321030" w14:textId="4019D388" w:rsidTr="00740336">
        <w:tc>
          <w:tcPr>
            <w:tcW w:w="2127" w:type="dxa"/>
            <w:vMerge/>
          </w:tcPr>
          <w:p w14:paraId="2A81E652" w14:textId="77777777" w:rsidR="00740336" w:rsidRPr="0080449A" w:rsidRDefault="00740336" w:rsidP="00740336"/>
        </w:tc>
        <w:tc>
          <w:tcPr>
            <w:tcW w:w="2977" w:type="dxa"/>
          </w:tcPr>
          <w:p w14:paraId="3A162359" w14:textId="77777777" w:rsidR="00740336" w:rsidRPr="0080449A" w:rsidRDefault="00740336" w:rsidP="00740336">
            <w:pPr>
              <w:pStyle w:val="Default"/>
              <w:rPr>
                <w:rFonts w:ascii="Arial" w:hAnsi="Arial" w:cs="Arial"/>
              </w:rPr>
            </w:pPr>
            <w:r w:rsidRPr="0080449A">
              <w:rPr>
                <w:rFonts w:ascii="Arial" w:hAnsi="Arial" w:cs="Arial"/>
                <w:b/>
                <w:bCs/>
              </w:rPr>
              <w:t xml:space="preserve">Sec. 12 </w:t>
            </w:r>
            <w:r w:rsidRPr="0080449A">
              <w:rPr>
                <w:rFonts w:ascii="Arial" w:hAnsi="Arial" w:cs="Arial"/>
              </w:rPr>
              <w:t xml:space="preserve">Communication Supports </w:t>
            </w:r>
          </w:p>
          <w:p w14:paraId="546D8EB6" w14:textId="23B1B0A6" w:rsidR="00740336" w:rsidRPr="0080449A" w:rsidRDefault="00740336" w:rsidP="00740336">
            <w:pPr>
              <w:shd w:val="clear" w:color="auto" w:fill="FFFFFF"/>
              <w:spacing w:before="100" w:beforeAutospacing="1" w:after="100" w:afterAutospacing="1"/>
              <w:rPr>
                <w:rFonts w:eastAsia="Times New Roman"/>
                <w:lang w:eastAsia="en-CA"/>
              </w:rPr>
            </w:pPr>
          </w:p>
        </w:tc>
        <w:tc>
          <w:tcPr>
            <w:tcW w:w="1842" w:type="dxa"/>
            <w:vMerge/>
          </w:tcPr>
          <w:p w14:paraId="0A08BB6E" w14:textId="77777777" w:rsidR="00740336" w:rsidRPr="0080449A" w:rsidRDefault="00740336" w:rsidP="00740336"/>
        </w:tc>
        <w:tc>
          <w:tcPr>
            <w:tcW w:w="1560" w:type="dxa"/>
            <w:vMerge/>
          </w:tcPr>
          <w:p w14:paraId="0C0B203D" w14:textId="77777777" w:rsidR="00740336" w:rsidRPr="0080449A" w:rsidRDefault="00740336" w:rsidP="00740336"/>
        </w:tc>
        <w:tc>
          <w:tcPr>
            <w:tcW w:w="5386" w:type="dxa"/>
          </w:tcPr>
          <w:p w14:paraId="21E07D42" w14:textId="43C530B7" w:rsidR="00740336" w:rsidRPr="0080449A" w:rsidRDefault="00740336" w:rsidP="00740336">
            <w:r>
              <w:t>SWPH will provide accessible formats within a timely manner that considers the person’s needs. Any c</w:t>
            </w:r>
            <w:r w:rsidRPr="0080449A">
              <w:rPr>
                <w:rFonts w:eastAsia="Times New Roman"/>
                <w:lang w:eastAsia="en-CA"/>
              </w:rPr>
              <w:t>osts will not be incurred by the client. The client will be consulted to determine the appropriate support</w:t>
            </w:r>
            <w:r>
              <w:rPr>
                <w:rFonts w:eastAsia="Times New Roman"/>
                <w:lang w:eastAsia="en-CA"/>
              </w:rPr>
              <w:t xml:space="preserve"> required. SWPH may at times, utilize other service providers to facilitate request.</w:t>
            </w:r>
          </w:p>
        </w:tc>
        <w:tc>
          <w:tcPr>
            <w:tcW w:w="4820" w:type="dxa"/>
          </w:tcPr>
          <w:p w14:paraId="734DE71E" w14:textId="77777777" w:rsidR="00866073" w:rsidRPr="00866073" w:rsidRDefault="00866073" w:rsidP="00866073">
            <w:r w:rsidRPr="00866073">
              <w:t>Office Manager</w:t>
            </w:r>
          </w:p>
          <w:p w14:paraId="0EA8537A" w14:textId="77777777" w:rsidR="00866073" w:rsidRPr="00866073" w:rsidRDefault="00866073" w:rsidP="00866073">
            <w:r w:rsidRPr="00866073">
              <w:t>Director, Finance and Facilities</w:t>
            </w:r>
          </w:p>
          <w:p w14:paraId="6A97203F" w14:textId="77777777" w:rsidR="00866073" w:rsidRDefault="00866073" w:rsidP="00866073">
            <w:r w:rsidRPr="00866073">
              <w:t>Communications</w:t>
            </w:r>
            <w:r>
              <w:t xml:space="preserve"> Manager</w:t>
            </w:r>
          </w:p>
          <w:p w14:paraId="42BD022E" w14:textId="77777777" w:rsidR="00866073" w:rsidRDefault="00866073" w:rsidP="00866073">
            <w:r>
              <w:t>Director, Corporate Services</w:t>
            </w:r>
          </w:p>
          <w:p w14:paraId="39D4DD73" w14:textId="68096AC3" w:rsidR="00740336" w:rsidRDefault="00740336" w:rsidP="00740336"/>
        </w:tc>
      </w:tr>
      <w:tr w:rsidR="00740336" w:rsidRPr="000414E9" w14:paraId="2DB35049" w14:textId="364064D6" w:rsidTr="00740336">
        <w:tc>
          <w:tcPr>
            <w:tcW w:w="2127" w:type="dxa"/>
          </w:tcPr>
          <w:p w14:paraId="4F092954" w14:textId="55291F9E" w:rsidR="00740336" w:rsidRPr="000414E9" w:rsidRDefault="00740336" w:rsidP="00740336">
            <w:r w:rsidRPr="000414E9">
              <w:t>Unconvertible Information</w:t>
            </w:r>
          </w:p>
        </w:tc>
        <w:tc>
          <w:tcPr>
            <w:tcW w:w="2977" w:type="dxa"/>
          </w:tcPr>
          <w:p w14:paraId="5767889E" w14:textId="137A339E" w:rsidR="00740336" w:rsidRPr="000414E9" w:rsidRDefault="00740336" w:rsidP="00740336">
            <w:pPr>
              <w:pStyle w:val="Default"/>
              <w:rPr>
                <w:rFonts w:ascii="Arial" w:hAnsi="Arial" w:cs="Arial"/>
              </w:rPr>
            </w:pPr>
            <w:r w:rsidRPr="000414E9">
              <w:rPr>
                <w:rFonts w:ascii="Arial" w:hAnsi="Arial" w:cs="Arial"/>
                <w:b/>
                <w:bCs/>
              </w:rPr>
              <w:t xml:space="preserve">Sec. 12 </w:t>
            </w:r>
            <w:r w:rsidRPr="000414E9">
              <w:rPr>
                <w:rFonts w:ascii="Arial" w:hAnsi="Arial" w:cs="Arial"/>
              </w:rPr>
              <w:t xml:space="preserve">Examples: blueprints or x-rays. </w:t>
            </w:r>
          </w:p>
          <w:p w14:paraId="2D836E28" w14:textId="77777777" w:rsidR="00740336" w:rsidRPr="000414E9" w:rsidRDefault="00740336" w:rsidP="00740336">
            <w:pPr>
              <w:shd w:val="clear" w:color="auto" w:fill="FFFFFF"/>
              <w:spacing w:before="100" w:beforeAutospacing="1" w:after="100" w:afterAutospacing="1"/>
              <w:rPr>
                <w:rFonts w:eastAsia="Times New Roman"/>
                <w:lang w:eastAsia="en-CA"/>
              </w:rPr>
            </w:pPr>
          </w:p>
        </w:tc>
        <w:tc>
          <w:tcPr>
            <w:tcW w:w="1842" w:type="dxa"/>
          </w:tcPr>
          <w:p w14:paraId="2625CAED" w14:textId="0A2D91BD" w:rsidR="00740336" w:rsidRPr="000414E9" w:rsidRDefault="00740336" w:rsidP="00740336">
            <w:r w:rsidRPr="000414E9">
              <w:t>January 1, 2015</w:t>
            </w:r>
          </w:p>
        </w:tc>
        <w:tc>
          <w:tcPr>
            <w:tcW w:w="1560" w:type="dxa"/>
          </w:tcPr>
          <w:p w14:paraId="12E6AA23" w14:textId="56621729" w:rsidR="00740336" w:rsidRPr="000414E9" w:rsidRDefault="00740336" w:rsidP="00740336">
            <w:r w:rsidRPr="000414E9">
              <w:t>Compliant</w:t>
            </w:r>
          </w:p>
        </w:tc>
        <w:tc>
          <w:tcPr>
            <w:tcW w:w="5386" w:type="dxa"/>
          </w:tcPr>
          <w:p w14:paraId="3619B17E" w14:textId="5096D685" w:rsidR="00740336" w:rsidRPr="000414E9" w:rsidRDefault="00740336" w:rsidP="00740336">
            <w:r w:rsidRPr="000414E9">
              <w:t>SWPH utilizes other documents produced by other ministries or service providers. These documents are not under the control of SWPH and therefore may not be provided in an accessible format.</w:t>
            </w:r>
          </w:p>
        </w:tc>
        <w:tc>
          <w:tcPr>
            <w:tcW w:w="4820" w:type="dxa"/>
          </w:tcPr>
          <w:p w14:paraId="4C51A2B1" w14:textId="77777777" w:rsidR="00866073" w:rsidRPr="000414E9" w:rsidRDefault="00866073" w:rsidP="00866073">
            <w:r w:rsidRPr="000414E9">
              <w:t>Office Manager</w:t>
            </w:r>
          </w:p>
          <w:p w14:paraId="72DB30B2" w14:textId="77777777" w:rsidR="00866073" w:rsidRPr="000414E9" w:rsidRDefault="00866073" w:rsidP="00866073">
            <w:r w:rsidRPr="000414E9">
              <w:t>Director, Finance and Facilities</w:t>
            </w:r>
          </w:p>
          <w:p w14:paraId="5DE8190B" w14:textId="77777777" w:rsidR="00866073" w:rsidRPr="000414E9" w:rsidRDefault="00866073" w:rsidP="00866073">
            <w:r w:rsidRPr="000414E9">
              <w:t>Communications Manager</w:t>
            </w:r>
          </w:p>
          <w:p w14:paraId="2C15A8EB" w14:textId="77777777" w:rsidR="00866073" w:rsidRPr="000414E9" w:rsidRDefault="00866073" w:rsidP="00866073">
            <w:r w:rsidRPr="000414E9">
              <w:t>Director, Corporate Services</w:t>
            </w:r>
          </w:p>
          <w:p w14:paraId="5F693A56" w14:textId="55FE04C1" w:rsidR="00740336" w:rsidRPr="000414E9" w:rsidRDefault="00740336" w:rsidP="00740336"/>
        </w:tc>
      </w:tr>
      <w:tr w:rsidR="00740336" w:rsidRPr="0080449A" w14:paraId="465EEDA9" w14:textId="62EFD1DA" w:rsidTr="00740336">
        <w:tc>
          <w:tcPr>
            <w:tcW w:w="2127" w:type="dxa"/>
          </w:tcPr>
          <w:p w14:paraId="74B8EE51" w14:textId="59BFF8EE" w:rsidR="00740336" w:rsidRPr="000414E9" w:rsidRDefault="00740336" w:rsidP="00740336">
            <w:r w:rsidRPr="000414E9">
              <w:t>Meeting Requests in a timely manner</w:t>
            </w:r>
          </w:p>
        </w:tc>
        <w:tc>
          <w:tcPr>
            <w:tcW w:w="2977" w:type="dxa"/>
          </w:tcPr>
          <w:p w14:paraId="72308C71" w14:textId="521AF895" w:rsidR="00740336" w:rsidRPr="000414E9" w:rsidRDefault="00740336" w:rsidP="00740336">
            <w:pPr>
              <w:pStyle w:val="Default"/>
              <w:rPr>
                <w:rFonts w:ascii="Arial" w:hAnsi="Arial" w:cs="Arial"/>
              </w:rPr>
            </w:pPr>
            <w:r w:rsidRPr="000414E9">
              <w:rPr>
                <w:rFonts w:ascii="Arial" w:hAnsi="Arial" w:cs="Arial"/>
                <w:b/>
                <w:bCs/>
              </w:rPr>
              <w:t xml:space="preserve">Sec. 12 </w:t>
            </w:r>
            <w:r w:rsidRPr="000414E9">
              <w:rPr>
                <w:rFonts w:ascii="Arial" w:hAnsi="Arial" w:cs="Arial"/>
              </w:rPr>
              <w:t>HTML, MS Word, accessible electronic formats.</w:t>
            </w:r>
          </w:p>
          <w:p w14:paraId="759B8445" w14:textId="77777777" w:rsidR="00740336" w:rsidRPr="000414E9" w:rsidRDefault="00740336" w:rsidP="00740336">
            <w:pPr>
              <w:shd w:val="clear" w:color="auto" w:fill="FFFFFF"/>
              <w:spacing w:before="100" w:beforeAutospacing="1" w:after="100" w:afterAutospacing="1"/>
              <w:rPr>
                <w:rFonts w:eastAsia="Times New Roman"/>
                <w:lang w:eastAsia="en-CA"/>
              </w:rPr>
            </w:pPr>
          </w:p>
        </w:tc>
        <w:tc>
          <w:tcPr>
            <w:tcW w:w="1842" w:type="dxa"/>
          </w:tcPr>
          <w:p w14:paraId="6A2E4C2A" w14:textId="2DFFF1EC" w:rsidR="00740336" w:rsidRPr="000414E9" w:rsidRDefault="00740336" w:rsidP="00740336">
            <w:r w:rsidRPr="000414E9">
              <w:t>January 1, 2015</w:t>
            </w:r>
          </w:p>
        </w:tc>
        <w:tc>
          <w:tcPr>
            <w:tcW w:w="1560" w:type="dxa"/>
          </w:tcPr>
          <w:p w14:paraId="0D2CE644" w14:textId="677868F4" w:rsidR="00740336" w:rsidRPr="000414E9" w:rsidRDefault="00740336" w:rsidP="00740336">
            <w:r w:rsidRPr="000414E9">
              <w:t>Compliant</w:t>
            </w:r>
          </w:p>
        </w:tc>
        <w:tc>
          <w:tcPr>
            <w:tcW w:w="5386" w:type="dxa"/>
          </w:tcPr>
          <w:p w14:paraId="0E8A6D9D" w14:textId="4FCEEE24" w:rsidR="00740336" w:rsidRPr="000414E9" w:rsidRDefault="00740336" w:rsidP="00740336">
            <w:r w:rsidRPr="000414E9">
              <w:t xml:space="preserve">In some cases, requests for information or communications supports may require more time due to </w:t>
            </w:r>
            <w:r w:rsidR="00BD3BB4" w:rsidRPr="000414E9">
              <w:t>several</w:t>
            </w:r>
            <w:r w:rsidRPr="000414E9">
              <w:t xml:space="preserve"> factors such as internal capacity, complexity etc. At most, clients will receive accessible documents or communication supports withing 10 business day.</w:t>
            </w:r>
          </w:p>
        </w:tc>
        <w:tc>
          <w:tcPr>
            <w:tcW w:w="4820" w:type="dxa"/>
          </w:tcPr>
          <w:p w14:paraId="0D094199" w14:textId="77777777" w:rsidR="00866073" w:rsidRPr="000414E9" w:rsidRDefault="00866073" w:rsidP="00866073">
            <w:r w:rsidRPr="000414E9">
              <w:t>Office Manager</w:t>
            </w:r>
          </w:p>
          <w:p w14:paraId="37264A1F" w14:textId="77777777" w:rsidR="00866073" w:rsidRPr="000414E9" w:rsidRDefault="00866073" w:rsidP="00866073">
            <w:r w:rsidRPr="000414E9">
              <w:t>Director, Finance and Facilities</w:t>
            </w:r>
          </w:p>
          <w:p w14:paraId="52F6624C" w14:textId="77777777" w:rsidR="00866073" w:rsidRPr="000414E9" w:rsidRDefault="00866073" w:rsidP="00866073">
            <w:r w:rsidRPr="000414E9">
              <w:t>Communications Manager</w:t>
            </w:r>
          </w:p>
          <w:p w14:paraId="5125F20C" w14:textId="77777777" w:rsidR="00866073" w:rsidRPr="000414E9" w:rsidRDefault="00866073" w:rsidP="00866073">
            <w:r w:rsidRPr="000414E9">
              <w:t>Director, Corporate Services</w:t>
            </w:r>
          </w:p>
          <w:p w14:paraId="25528585" w14:textId="37C39A8A" w:rsidR="00740336" w:rsidRPr="000414E9" w:rsidRDefault="00740336" w:rsidP="00740336"/>
        </w:tc>
      </w:tr>
      <w:tr w:rsidR="00740336" w:rsidRPr="0080449A" w14:paraId="030795E0" w14:textId="69D8F350" w:rsidTr="00740336">
        <w:tc>
          <w:tcPr>
            <w:tcW w:w="2127" w:type="dxa"/>
          </w:tcPr>
          <w:p w14:paraId="6908AE3A" w14:textId="18F425C7" w:rsidR="00740336" w:rsidRPr="0080449A" w:rsidRDefault="00740336" w:rsidP="00740336">
            <w:r w:rsidRPr="0080449A">
              <w:t>Posting Requirements</w:t>
            </w:r>
          </w:p>
        </w:tc>
        <w:tc>
          <w:tcPr>
            <w:tcW w:w="2977" w:type="dxa"/>
          </w:tcPr>
          <w:p w14:paraId="0D10E3D4" w14:textId="49688E45" w:rsidR="00740336" w:rsidRPr="0080449A" w:rsidRDefault="00740336" w:rsidP="00740336">
            <w:pPr>
              <w:pStyle w:val="Default"/>
              <w:rPr>
                <w:rFonts w:ascii="Arial" w:eastAsia="Times New Roman" w:hAnsi="Arial" w:cs="Arial"/>
                <w:lang w:eastAsia="en-CA"/>
              </w:rPr>
            </w:pPr>
            <w:r w:rsidRPr="0080449A">
              <w:rPr>
                <w:rFonts w:ascii="Arial" w:hAnsi="Arial" w:cs="Arial"/>
                <w:b/>
                <w:bCs/>
              </w:rPr>
              <w:t xml:space="preserve">Sec. 12 </w:t>
            </w:r>
            <w:r w:rsidRPr="0080449A">
              <w:rPr>
                <w:rFonts w:ascii="Arial" w:hAnsi="Arial" w:cs="Arial"/>
              </w:rPr>
              <w:t xml:space="preserve">Public must be notified about accessible </w:t>
            </w:r>
            <w:r w:rsidRPr="0080449A">
              <w:rPr>
                <w:rFonts w:ascii="Arial" w:hAnsi="Arial" w:cs="Arial"/>
              </w:rPr>
              <w:lastRenderedPageBreak/>
              <w:t xml:space="preserve">formats &amp; communication supports. </w:t>
            </w:r>
          </w:p>
        </w:tc>
        <w:tc>
          <w:tcPr>
            <w:tcW w:w="1842" w:type="dxa"/>
          </w:tcPr>
          <w:p w14:paraId="5C01000D" w14:textId="447442F5" w:rsidR="00740336" w:rsidRPr="0080449A" w:rsidRDefault="00740336" w:rsidP="00740336">
            <w:r w:rsidRPr="0080449A">
              <w:lastRenderedPageBreak/>
              <w:t>January 1, 2015</w:t>
            </w:r>
          </w:p>
        </w:tc>
        <w:tc>
          <w:tcPr>
            <w:tcW w:w="1560" w:type="dxa"/>
          </w:tcPr>
          <w:p w14:paraId="2D6BC9DE" w14:textId="096E4BCF" w:rsidR="00740336" w:rsidRPr="0080449A" w:rsidRDefault="00740336" w:rsidP="00740336">
            <w:r w:rsidRPr="0080449A">
              <w:t>Compliant</w:t>
            </w:r>
          </w:p>
        </w:tc>
        <w:tc>
          <w:tcPr>
            <w:tcW w:w="5386" w:type="dxa"/>
          </w:tcPr>
          <w:p w14:paraId="1B2C06A5" w14:textId="3D5A39CF" w:rsidR="00740336" w:rsidRPr="0080449A" w:rsidRDefault="00740336" w:rsidP="00740336">
            <w:pPr>
              <w:rPr>
                <w:color w:val="FF0000"/>
              </w:rPr>
            </w:pPr>
            <w:r w:rsidRPr="0080449A">
              <w:t xml:space="preserve">SWPH website </w:t>
            </w:r>
            <w:r>
              <w:t xml:space="preserve">includes a comprehensive </w:t>
            </w:r>
            <w:r w:rsidRPr="0080449A">
              <w:t>accessibility page that communicates all AODA requirements.</w:t>
            </w:r>
          </w:p>
        </w:tc>
        <w:tc>
          <w:tcPr>
            <w:tcW w:w="4820" w:type="dxa"/>
          </w:tcPr>
          <w:p w14:paraId="660C745A" w14:textId="77777777" w:rsidR="00866073" w:rsidRPr="00866073" w:rsidRDefault="00866073" w:rsidP="00866073">
            <w:r w:rsidRPr="00866073">
              <w:t>Office Manager</w:t>
            </w:r>
          </w:p>
          <w:p w14:paraId="06D880D5" w14:textId="77777777" w:rsidR="00866073" w:rsidRPr="00866073" w:rsidRDefault="00866073" w:rsidP="00866073">
            <w:r w:rsidRPr="00866073">
              <w:t>Director, Finance and Facilities</w:t>
            </w:r>
          </w:p>
          <w:p w14:paraId="3AD32094" w14:textId="77777777" w:rsidR="00866073" w:rsidRDefault="00866073" w:rsidP="00866073">
            <w:r w:rsidRPr="00866073">
              <w:t>Communications</w:t>
            </w:r>
            <w:r>
              <w:t xml:space="preserve"> Manager</w:t>
            </w:r>
          </w:p>
          <w:p w14:paraId="5095A641" w14:textId="77777777" w:rsidR="00866073" w:rsidRDefault="00866073" w:rsidP="00866073">
            <w:r>
              <w:lastRenderedPageBreak/>
              <w:t>Director, Corporate Services</w:t>
            </w:r>
          </w:p>
          <w:p w14:paraId="42FB4683" w14:textId="1817F950" w:rsidR="00740336" w:rsidRPr="0080449A" w:rsidRDefault="00740336" w:rsidP="00D2709C"/>
        </w:tc>
      </w:tr>
      <w:tr w:rsidR="00740336" w:rsidRPr="0080449A" w14:paraId="0303FB5A" w14:textId="3CCCF27F" w:rsidTr="00740336">
        <w:trPr>
          <w:trHeight w:val="1085"/>
        </w:trPr>
        <w:tc>
          <w:tcPr>
            <w:tcW w:w="2127" w:type="dxa"/>
          </w:tcPr>
          <w:p w14:paraId="6B0360F6" w14:textId="20C3D004" w:rsidR="00740336" w:rsidRPr="0080449A" w:rsidRDefault="00740336" w:rsidP="00740336">
            <w:r w:rsidRPr="0080449A">
              <w:lastRenderedPageBreak/>
              <w:t>Emergency Procedures/Plans and or Public Safety Information</w:t>
            </w:r>
          </w:p>
        </w:tc>
        <w:tc>
          <w:tcPr>
            <w:tcW w:w="2977" w:type="dxa"/>
          </w:tcPr>
          <w:p w14:paraId="7BABB6E6" w14:textId="58D56E00" w:rsidR="00740336" w:rsidRPr="0080449A" w:rsidRDefault="00740336" w:rsidP="00740336">
            <w:pPr>
              <w:pStyle w:val="Default"/>
              <w:rPr>
                <w:rFonts w:ascii="Arial" w:eastAsia="Times New Roman" w:hAnsi="Arial" w:cs="Arial"/>
                <w:lang w:eastAsia="en-CA"/>
              </w:rPr>
            </w:pPr>
            <w:r w:rsidRPr="0080449A">
              <w:rPr>
                <w:rFonts w:ascii="Arial" w:hAnsi="Arial" w:cs="Arial"/>
                <w:b/>
                <w:bCs/>
              </w:rPr>
              <w:t xml:space="preserve">Sec. 13 </w:t>
            </w:r>
            <w:r w:rsidRPr="0080449A">
              <w:rPr>
                <w:rFonts w:ascii="Arial" w:hAnsi="Arial" w:cs="Arial"/>
              </w:rPr>
              <w:t>If publicly available must also provide in an accessible format. i.e.: evacuation procedures, floor plans, Health &amp; Safety information</w:t>
            </w:r>
            <w:r>
              <w:rPr>
                <w:rFonts w:ascii="Arial" w:hAnsi="Arial" w:cs="Arial"/>
              </w:rPr>
              <w:t>.</w:t>
            </w:r>
            <w:r w:rsidRPr="0080449A">
              <w:rPr>
                <w:rFonts w:ascii="Arial" w:hAnsi="Arial" w:cs="Arial"/>
              </w:rPr>
              <w:t xml:space="preserve"> </w:t>
            </w:r>
          </w:p>
        </w:tc>
        <w:tc>
          <w:tcPr>
            <w:tcW w:w="1842" w:type="dxa"/>
          </w:tcPr>
          <w:p w14:paraId="05948760" w14:textId="2105ACAC" w:rsidR="00740336" w:rsidRPr="0080449A" w:rsidRDefault="00740336" w:rsidP="00740336">
            <w:r w:rsidRPr="0080449A">
              <w:t>January 1, 2012</w:t>
            </w:r>
          </w:p>
        </w:tc>
        <w:tc>
          <w:tcPr>
            <w:tcW w:w="1560" w:type="dxa"/>
          </w:tcPr>
          <w:p w14:paraId="2E1A1E0E" w14:textId="26AAC8E2" w:rsidR="00740336" w:rsidRPr="0080449A" w:rsidRDefault="00740336" w:rsidP="00740336">
            <w:r w:rsidRPr="0080449A">
              <w:t>Compliant</w:t>
            </w:r>
            <w:r>
              <w:t xml:space="preserve"> and revised in 2022</w:t>
            </w:r>
          </w:p>
        </w:tc>
        <w:tc>
          <w:tcPr>
            <w:tcW w:w="5386" w:type="dxa"/>
          </w:tcPr>
          <w:p w14:paraId="34264139" w14:textId="77777777" w:rsidR="00740336" w:rsidRPr="0080449A" w:rsidRDefault="00740336" w:rsidP="00740336">
            <w:r w:rsidRPr="0080449A">
              <w:t>Upon request, SWPH will arrange for emergency plans and or public safety documents in an accessible form by:</w:t>
            </w:r>
          </w:p>
          <w:p w14:paraId="3AA102D2" w14:textId="0439EEC7" w:rsidR="00740336" w:rsidRPr="0080449A" w:rsidRDefault="00740336" w:rsidP="00740336">
            <w:pPr>
              <w:pStyle w:val="ListParagraph"/>
              <w:numPr>
                <w:ilvl w:val="0"/>
                <w:numId w:val="27"/>
              </w:numPr>
              <w:rPr>
                <w:rFonts w:cs="Arial"/>
                <w:szCs w:val="24"/>
              </w:rPr>
            </w:pPr>
            <w:r w:rsidRPr="0080449A">
              <w:rPr>
                <w:rFonts w:cs="Arial"/>
                <w:szCs w:val="24"/>
              </w:rPr>
              <w:t xml:space="preserve">Downloading the </w:t>
            </w:r>
            <w:r w:rsidRPr="000414E9">
              <w:rPr>
                <w:rFonts w:cs="Arial"/>
                <w:b/>
                <w:bCs/>
                <w:szCs w:val="24"/>
                <w:highlight w:val="yellow"/>
              </w:rPr>
              <w:t>Alternate Document Request form</w:t>
            </w:r>
            <w:r w:rsidRPr="0080449A">
              <w:rPr>
                <w:rFonts w:cs="Arial"/>
                <w:b/>
                <w:bCs/>
                <w:szCs w:val="24"/>
              </w:rPr>
              <w:t xml:space="preserve"> </w:t>
            </w:r>
            <w:r w:rsidRPr="0080449A">
              <w:rPr>
                <w:rFonts w:cs="Arial"/>
                <w:szCs w:val="24"/>
              </w:rPr>
              <w:t>on our website</w:t>
            </w:r>
            <w:r>
              <w:rPr>
                <w:rFonts w:cs="Arial"/>
                <w:szCs w:val="24"/>
              </w:rPr>
              <w:t>, or</w:t>
            </w:r>
          </w:p>
          <w:p w14:paraId="3AECD3C6" w14:textId="0839B578" w:rsidR="00740336" w:rsidRDefault="00740336" w:rsidP="00740336">
            <w:pPr>
              <w:pStyle w:val="ListParagraph"/>
              <w:numPr>
                <w:ilvl w:val="0"/>
                <w:numId w:val="27"/>
              </w:numPr>
            </w:pPr>
            <w:r w:rsidRPr="00F930DF">
              <w:rPr>
                <w:rFonts w:eastAsia="Times New Roman" w:cs="Arial"/>
                <w:szCs w:val="24"/>
                <w:lang w:eastAsia="en-CA"/>
              </w:rPr>
              <w:t>SWPH will provide any publicly available emergency plans or public safety documents in an accessible format upon request.</w:t>
            </w:r>
            <w:r>
              <w:rPr>
                <w:rFonts w:eastAsia="Times New Roman" w:cs="Arial"/>
                <w:szCs w:val="24"/>
                <w:lang w:eastAsia="en-CA"/>
              </w:rPr>
              <w:t xml:space="preserve"> </w:t>
            </w:r>
            <w:r w:rsidRPr="0080449A">
              <w:rPr>
                <w:rFonts w:cs="Arial"/>
                <w:szCs w:val="24"/>
              </w:rPr>
              <w:t xml:space="preserve">By emailing us at </w:t>
            </w:r>
            <w:hyperlink r:id="rId11" w:history="1">
              <w:r w:rsidRPr="0080449A">
                <w:rPr>
                  <w:rStyle w:val="Hyperlink"/>
                  <w:rFonts w:cs="Arial"/>
                  <w:szCs w:val="24"/>
                </w:rPr>
                <w:t>accessibility@swpublichealth.ca</w:t>
              </w:r>
            </w:hyperlink>
          </w:p>
          <w:p w14:paraId="3AFFD10F" w14:textId="1102FE92" w:rsidR="00740336" w:rsidRPr="000B349B" w:rsidRDefault="00740336" w:rsidP="00740336"/>
        </w:tc>
        <w:tc>
          <w:tcPr>
            <w:tcW w:w="4820" w:type="dxa"/>
          </w:tcPr>
          <w:p w14:paraId="6AC4228A" w14:textId="77777777" w:rsidR="00866073" w:rsidRPr="00866073" w:rsidRDefault="00866073" w:rsidP="00866073">
            <w:r w:rsidRPr="00866073">
              <w:t>Office Manager</w:t>
            </w:r>
          </w:p>
          <w:p w14:paraId="016DF5FB" w14:textId="77777777" w:rsidR="00866073" w:rsidRPr="00866073" w:rsidRDefault="00866073" w:rsidP="00866073">
            <w:r w:rsidRPr="00866073">
              <w:t>Director, Finance and Facilities</w:t>
            </w:r>
          </w:p>
          <w:p w14:paraId="72825C99" w14:textId="77777777" w:rsidR="00866073" w:rsidRDefault="00866073" w:rsidP="00866073">
            <w:r w:rsidRPr="00866073">
              <w:t>Communications</w:t>
            </w:r>
            <w:r>
              <w:t xml:space="preserve"> Manager</w:t>
            </w:r>
          </w:p>
          <w:p w14:paraId="0E273F30" w14:textId="77777777" w:rsidR="00866073" w:rsidRDefault="00866073" w:rsidP="00866073">
            <w:r>
              <w:t>Director, Corporate Services</w:t>
            </w:r>
          </w:p>
          <w:p w14:paraId="703796F7" w14:textId="77777777" w:rsidR="00740336" w:rsidRDefault="00866073" w:rsidP="00D2709C">
            <w:pPr>
              <w:rPr>
                <w:spacing w:val="3"/>
                <w:lang w:val="en-US"/>
              </w:rPr>
            </w:pPr>
            <w:r w:rsidRPr="00866073">
              <w:rPr>
                <w:spacing w:val="3"/>
                <w:lang w:val="en-US"/>
              </w:rPr>
              <w:t>Manager, Strategic Initiatives &amp; Emergency Response Planning</w:t>
            </w:r>
          </w:p>
          <w:p w14:paraId="1D7FC2FD" w14:textId="288422CB" w:rsidR="00866073" w:rsidRPr="0080449A" w:rsidRDefault="00866073" w:rsidP="00D2709C"/>
        </w:tc>
      </w:tr>
      <w:tr w:rsidR="00740336" w:rsidRPr="0080449A" w14:paraId="109E6FD6" w14:textId="49681703" w:rsidTr="00740336">
        <w:trPr>
          <w:trHeight w:val="828"/>
        </w:trPr>
        <w:tc>
          <w:tcPr>
            <w:tcW w:w="2127" w:type="dxa"/>
            <w:vMerge w:val="restart"/>
          </w:tcPr>
          <w:p w14:paraId="022CFA95" w14:textId="130FFECD" w:rsidR="00740336" w:rsidRPr="0080449A" w:rsidRDefault="00740336" w:rsidP="00740336">
            <w:r w:rsidRPr="0080449A">
              <w:t>Accessible Websites &amp; Web Content</w:t>
            </w:r>
          </w:p>
        </w:tc>
        <w:tc>
          <w:tcPr>
            <w:tcW w:w="2977" w:type="dxa"/>
          </w:tcPr>
          <w:p w14:paraId="1295D2F0" w14:textId="70DFABA0" w:rsidR="00740336" w:rsidRPr="0080449A" w:rsidRDefault="00740336" w:rsidP="00740336">
            <w:pPr>
              <w:pStyle w:val="Default"/>
              <w:rPr>
                <w:rFonts w:ascii="Arial" w:eastAsia="Times New Roman" w:hAnsi="Arial" w:cs="Arial"/>
                <w:lang w:eastAsia="en-CA"/>
              </w:rPr>
            </w:pPr>
            <w:r w:rsidRPr="0080449A">
              <w:rPr>
                <w:rFonts w:ascii="Arial" w:hAnsi="Arial" w:cs="Arial"/>
                <w:b/>
                <w:bCs/>
              </w:rPr>
              <w:t xml:space="preserve">Sec. 14 </w:t>
            </w:r>
            <w:r w:rsidRPr="0080449A">
              <w:rPr>
                <w:rFonts w:ascii="Arial" w:hAnsi="Arial" w:cs="Arial"/>
              </w:rPr>
              <w:t>Applies to new internet websites &amp; content</w:t>
            </w:r>
            <w:r>
              <w:rPr>
                <w:rFonts w:ascii="Arial" w:hAnsi="Arial" w:cs="Arial"/>
              </w:rPr>
              <w:t xml:space="preserve"> </w:t>
            </w:r>
            <w:r w:rsidRPr="0080449A">
              <w:rPr>
                <w:rFonts w:ascii="Arial" w:hAnsi="Arial" w:cs="Arial"/>
              </w:rPr>
              <w:t xml:space="preserve">WCAG 2.0 (World Wide Web Consortium web content accessibility guidelines at Level A) </w:t>
            </w:r>
          </w:p>
        </w:tc>
        <w:tc>
          <w:tcPr>
            <w:tcW w:w="1842" w:type="dxa"/>
          </w:tcPr>
          <w:p w14:paraId="18CA0C7F" w14:textId="389DA782" w:rsidR="00740336" w:rsidRPr="0080449A" w:rsidRDefault="00740336" w:rsidP="00740336">
            <w:r>
              <w:t>N/A</w:t>
            </w:r>
          </w:p>
        </w:tc>
        <w:tc>
          <w:tcPr>
            <w:tcW w:w="1560" w:type="dxa"/>
          </w:tcPr>
          <w:p w14:paraId="1A4E1D4F" w14:textId="014A90D7" w:rsidR="00740336" w:rsidRPr="0080449A" w:rsidRDefault="00740336" w:rsidP="00740336">
            <w:r>
              <w:t>N/A</w:t>
            </w:r>
          </w:p>
        </w:tc>
        <w:tc>
          <w:tcPr>
            <w:tcW w:w="5386" w:type="dxa"/>
          </w:tcPr>
          <w:p w14:paraId="41C729E1" w14:textId="285D2D5A" w:rsidR="00740336" w:rsidRPr="00C9547D" w:rsidRDefault="00740336" w:rsidP="00740336">
            <w:r>
              <w:t xml:space="preserve">SWPH has no plans for a significant refresh (more than 50% of content, </w:t>
            </w:r>
            <w:r w:rsidR="00BD3BB4">
              <w:t>design,</w:t>
            </w:r>
            <w:r>
              <w:t xml:space="preserve"> or technology) of its website or new URL.</w:t>
            </w:r>
          </w:p>
        </w:tc>
        <w:tc>
          <w:tcPr>
            <w:tcW w:w="4820" w:type="dxa"/>
          </w:tcPr>
          <w:p w14:paraId="4FDDC298" w14:textId="77777777" w:rsidR="00740336" w:rsidRDefault="00866073" w:rsidP="00740336">
            <w:r>
              <w:t>Communications Manager</w:t>
            </w:r>
          </w:p>
          <w:p w14:paraId="3947A349" w14:textId="393ACC26" w:rsidR="00866073" w:rsidRDefault="00866073" w:rsidP="00740336">
            <w:r>
              <w:t>Director, Corporate Services</w:t>
            </w:r>
          </w:p>
        </w:tc>
      </w:tr>
      <w:tr w:rsidR="00740336" w:rsidRPr="0080449A" w14:paraId="14872A51" w14:textId="0C4FEF28" w:rsidTr="00740336">
        <w:trPr>
          <w:trHeight w:val="828"/>
        </w:trPr>
        <w:tc>
          <w:tcPr>
            <w:tcW w:w="2127" w:type="dxa"/>
            <w:vMerge/>
          </w:tcPr>
          <w:p w14:paraId="4B1D9096" w14:textId="77777777" w:rsidR="00740336" w:rsidRPr="0080449A" w:rsidRDefault="00740336" w:rsidP="00740336"/>
        </w:tc>
        <w:tc>
          <w:tcPr>
            <w:tcW w:w="2977" w:type="dxa"/>
          </w:tcPr>
          <w:p w14:paraId="3CDE6F74" w14:textId="77777777" w:rsidR="00740336" w:rsidRPr="0080449A" w:rsidRDefault="00740336" w:rsidP="00740336">
            <w:pPr>
              <w:pStyle w:val="Default"/>
              <w:rPr>
                <w:rFonts w:ascii="Arial" w:hAnsi="Arial" w:cs="Arial"/>
              </w:rPr>
            </w:pPr>
            <w:r w:rsidRPr="0080449A">
              <w:rPr>
                <w:rFonts w:ascii="Arial" w:hAnsi="Arial" w:cs="Arial"/>
                <w:b/>
                <w:bCs/>
              </w:rPr>
              <w:t xml:space="preserve">Sec. 14 </w:t>
            </w:r>
            <w:r w:rsidRPr="0080449A">
              <w:rPr>
                <w:rFonts w:ascii="Arial" w:hAnsi="Arial" w:cs="Arial"/>
              </w:rPr>
              <w:t xml:space="preserve">All internet websites and web content to comply with WCAG 2.0 (World Wide Web Consortium web content accessibility guidelines at Level AA) </w:t>
            </w:r>
          </w:p>
          <w:p w14:paraId="4840B39E" w14:textId="77777777" w:rsidR="00740336" w:rsidRPr="0080449A" w:rsidRDefault="00740336" w:rsidP="00740336">
            <w:pPr>
              <w:pStyle w:val="Default"/>
              <w:rPr>
                <w:rFonts w:ascii="Arial" w:hAnsi="Arial" w:cs="Arial"/>
                <w:b/>
                <w:bCs/>
              </w:rPr>
            </w:pPr>
          </w:p>
        </w:tc>
        <w:tc>
          <w:tcPr>
            <w:tcW w:w="1842" w:type="dxa"/>
          </w:tcPr>
          <w:p w14:paraId="7537882A" w14:textId="1024203D" w:rsidR="00740336" w:rsidRPr="0080449A" w:rsidRDefault="00740336" w:rsidP="00740336">
            <w:r>
              <w:t>January 1, 2021</w:t>
            </w:r>
          </w:p>
        </w:tc>
        <w:tc>
          <w:tcPr>
            <w:tcW w:w="1560" w:type="dxa"/>
          </w:tcPr>
          <w:p w14:paraId="6E6FB64E" w14:textId="2A853E66" w:rsidR="00740336" w:rsidRPr="0080449A" w:rsidRDefault="00BD3BB4" w:rsidP="00740336">
            <w:r>
              <w:t>Complaint</w:t>
            </w:r>
          </w:p>
        </w:tc>
        <w:tc>
          <w:tcPr>
            <w:tcW w:w="5386" w:type="dxa"/>
          </w:tcPr>
          <w:p w14:paraId="4566091A" w14:textId="2402983D" w:rsidR="00740336" w:rsidRPr="0080449A" w:rsidRDefault="00740336" w:rsidP="00740336">
            <w:r w:rsidRPr="0080449A">
              <w:t xml:space="preserve">SWPH’s website is managed by a third-party </w:t>
            </w:r>
            <w:r>
              <w:t xml:space="preserve">web developer </w:t>
            </w:r>
            <w:r w:rsidRPr="0080449A">
              <w:t xml:space="preserve">who has assured it is compliant with WCAG 2.0 Level AA </w:t>
            </w:r>
            <w:r w:rsidR="00BD3BB4" w:rsidRPr="0080449A">
              <w:t>standards.</w:t>
            </w:r>
          </w:p>
          <w:p w14:paraId="4EB1C2B3" w14:textId="4B11761B" w:rsidR="00740336" w:rsidRPr="0080449A" w:rsidRDefault="00740336" w:rsidP="00740336"/>
        </w:tc>
        <w:tc>
          <w:tcPr>
            <w:tcW w:w="4820" w:type="dxa"/>
          </w:tcPr>
          <w:p w14:paraId="7ABAF2D1" w14:textId="77777777" w:rsidR="00740336" w:rsidRDefault="00866073" w:rsidP="00740336">
            <w:r>
              <w:t>Communications Manager</w:t>
            </w:r>
          </w:p>
          <w:p w14:paraId="71967784" w14:textId="35EE58A5" w:rsidR="00866073" w:rsidRPr="0080449A" w:rsidRDefault="00866073" w:rsidP="00740336">
            <w:r>
              <w:t>Director, Corporate Services</w:t>
            </w:r>
          </w:p>
        </w:tc>
      </w:tr>
      <w:tr w:rsidR="00740336" w:rsidRPr="00DA4EB4" w14:paraId="53B28CD0" w14:textId="347406AE" w:rsidTr="00740336">
        <w:tc>
          <w:tcPr>
            <w:tcW w:w="13892" w:type="dxa"/>
            <w:gridSpan w:val="5"/>
            <w:shd w:val="clear" w:color="auto" w:fill="C6D9F1" w:themeFill="text2" w:themeFillTint="33"/>
          </w:tcPr>
          <w:p w14:paraId="5D745A21" w14:textId="5576E88B" w:rsidR="00740336" w:rsidRPr="00DA4EB4" w:rsidRDefault="00740336" w:rsidP="00740336">
            <w:pPr>
              <w:rPr>
                <w:b/>
                <w:bCs/>
              </w:rPr>
            </w:pPr>
            <w:r w:rsidRPr="00DA4EB4">
              <w:rPr>
                <w:b/>
                <w:bCs/>
              </w:rPr>
              <w:lastRenderedPageBreak/>
              <w:t>Employment Standard Category</w:t>
            </w:r>
          </w:p>
        </w:tc>
        <w:tc>
          <w:tcPr>
            <w:tcW w:w="4820" w:type="dxa"/>
            <w:shd w:val="clear" w:color="auto" w:fill="C6D9F1" w:themeFill="text2" w:themeFillTint="33"/>
          </w:tcPr>
          <w:p w14:paraId="62310146" w14:textId="77777777" w:rsidR="00740336" w:rsidRPr="00DA4EB4" w:rsidRDefault="00740336" w:rsidP="00740336">
            <w:pPr>
              <w:rPr>
                <w:b/>
                <w:bCs/>
              </w:rPr>
            </w:pPr>
          </w:p>
        </w:tc>
      </w:tr>
      <w:tr w:rsidR="00740336" w:rsidRPr="0080449A" w14:paraId="30978040" w14:textId="0D0ABFE3" w:rsidTr="00740336">
        <w:tc>
          <w:tcPr>
            <w:tcW w:w="2127" w:type="dxa"/>
            <w:vMerge w:val="restart"/>
          </w:tcPr>
          <w:p w14:paraId="71711DBF" w14:textId="1DF7BB71" w:rsidR="00740336" w:rsidRPr="0080449A" w:rsidRDefault="00740336" w:rsidP="00740336">
            <w:r w:rsidRPr="0080449A">
              <w:t>Recruitment, Assessment and Selection</w:t>
            </w:r>
          </w:p>
        </w:tc>
        <w:tc>
          <w:tcPr>
            <w:tcW w:w="2977" w:type="dxa"/>
          </w:tcPr>
          <w:p w14:paraId="1B8F29DE" w14:textId="1927A039" w:rsidR="00740336" w:rsidRPr="0080449A" w:rsidRDefault="00740336" w:rsidP="00740336">
            <w:pPr>
              <w:pStyle w:val="Default"/>
              <w:rPr>
                <w:rFonts w:ascii="Arial" w:eastAsia="Times New Roman" w:hAnsi="Arial" w:cs="Arial"/>
                <w:lang w:eastAsia="en-CA"/>
              </w:rPr>
            </w:pPr>
            <w:r w:rsidRPr="0080449A">
              <w:rPr>
                <w:rFonts w:ascii="Arial" w:hAnsi="Arial" w:cs="Arial"/>
                <w:b/>
                <w:bCs/>
              </w:rPr>
              <w:t xml:space="preserve">Sec. 22 </w:t>
            </w:r>
            <w:r w:rsidRPr="0080449A">
              <w:rPr>
                <w:rFonts w:ascii="Arial" w:hAnsi="Arial" w:cs="Arial"/>
              </w:rPr>
              <w:t>Notify employees and public about availability of accommodation(s) for applicants in the recruitment process</w:t>
            </w:r>
            <w:r>
              <w:rPr>
                <w:rFonts w:ascii="Arial" w:hAnsi="Arial" w:cs="Arial"/>
              </w:rPr>
              <w:t>.</w:t>
            </w:r>
          </w:p>
        </w:tc>
        <w:tc>
          <w:tcPr>
            <w:tcW w:w="1842" w:type="dxa"/>
          </w:tcPr>
          <w:p w14:paraId="5E45D854" w14:textId="5F5813E4" w:rsidR="00740336" w:rsidRPr="0080449A" w:rsidRDefault="00740336" w:rsidP="00740336">
            <w:r w:rsidRPr="0080449A">
              <w:t>January 1, 2014</w:t>
            </w:r>
          </w:p>
        </w:tc>
        <w:tc>
          <w:tcPr>
            <w:tcW w:w="1560" w:type="dxa"/>
          </w:tcPr>
          <w:p w14:paraId="3888EE93" w14:textId="75D61D87" w:rsidR="00740336" w:rsidRPr="0080449A" w:rsidRDefault="00740336" w:rsidP="00740336">
            <w:r w:rsidRPr="0080449A">
              <w:t>Compliant</w:t>
            </w:r>
          </w:p>
        </w:tc>
        <w:tc>
          <w:tcPr>
            <w:tcW w:w="5386" w:type="dxa"/>
          </w:tcPr>
          <w:p w14:paraId="4867D41C" w14:textId="52E025BB" w:rsidR="00740336" w:rsidRPr="001E7042" w:rsidRDefault="00740336" w:rsidP="00740336">
            <w:r w:rsidRPr="001E7042">
              <w:t>SWPH Human Resources conducts its own recruitment, assessment, and selection. Depending on position, these internal processes are guided by collective agreements with Ontario Nurses Association (ONA) and Canadian Union of Public Employees (CUPE). All internal and external postings include information about SWPH’s accommodation supports.</w:t>
            </w:r>
          </w:p>
          <w:p w14:paraId="41FAEE85" w14:textId="77777777" w:rsidR="00740336" w:rsidRPr="001E7042" w:rsidRDefault="00740336" w:rsidP="00740336">
            <w:pPr>
              <w:pStyle w:val="NormalWeb"/>
              <w:shd w:val="clear" w:color="auto" w:fill="FFFFFF"/>
              <w:spacing w:before="225" w:beforeAutospacing="0" w:after="225" w:afterAutospacing="0"/>
              <w:rPr>
                <w:rFonts w:ascii="Arial" w:hAnsi="Arial" w:cs="Arial"/>
              </w:rPr>
            </w:pPr>
            <w:r w:rsidRPr="001E7042">
              <w:rPr>
                <w:rFonts w:ascii="Arial" w:hAnsi="Arial" w:cs="Arial"/>
              </w:rPr>
              <w:t>SWPH Careers page includes the following accessibility statement:</w:t>
            </w:r>
          </w:p>
          <w:p w14:paraId="3F1262D6" w14:textId="529D4EA4" w:rsidR="00740336" w:rsidRPr="001E7042" w:rsidRDefault="00740336" w:rsidP="00740336">
            <w:pPr>
              <w:pStyle w:val="NormalWeb"/>
              <w:shd w:val="clear" w:color="auto" w:fill="FFFFFF"/>
              <w:spacing w:before="225" w:beforeAutospacing="0" w:after="225" w:afterAutospacing="0"/>
              <w:rPr>
                <w:rFonts w:ascii="Arial" w:hAnsi="Arial" w:cs="Arial"/>
              </w:rPr>
            </w:pPr>
            <w:r w:rsidRPr="001E7042">
              <w:rPr>
                <w:rFonts w:ascii="Arial" w:hAnsi="Arial" w:cs="Arial"/>
              </w:rPr>
              <w:t>“</w:t>
            </w:r>
            <w:r w:rsidRPr="001E7042">
              <w:rPr>
                <w:rFonts w:ascii="Arial" w:hAnsi="Arial" w:cs="Arial"/>
                <w:color w:val="000000"/>
              </w:rPr>
              <w:t>SWPH is committed to providing a workplace that is accessible for persons with disabilities. We strive to meet the standards set out in the </w:t>
            </w:r>
            <w:hyperlink r:id="rId12" w:tgtFrame="_blank" w:tooltip="Open new window to view Accessibility for Ontarians with Disabilities Act (AODA) Customer Service Regulation" w:history="1">
              <w:r w:rsidRPr="000414E9">
                <w:rPr>
                  <w:rFonts w:ascii="Arial" w:hAnsi="Arial" w:cs="Arial"/>
                  <w:b/>
                  <w:bCs/>
                  <w:highlight w:val="yellow"/>
                </w:rPr>
                <w:t>Accessibility for Ontarians with Disabilities Act (AODA) Customer Service Regulation</w:t>
              </w:r>
            </w:hyperlink>
            <w:r w:rsidRPr="001E7042">
              <w:rPr>
                <w:rFonts w:ascii="Arial" w:hAnsi="Arial" w:cs="Arial"/>
              </w:rPr>
              <w:t>.</w:t>
            </w:r>
          </w:p>
          <w:p w14:paraId="3F66831C" w14:textId="77777777" w:rsidR="00740336" w:rsidRPr="001E7042" w:rsidRDefault="00740336" w:rsidP="00740336">
            <w:pPr>
              <w:shd w:val="clear" w:color="auto" w:fill="FFFFFF"/>
              <w:spacing w:before="225" w:after="225"/>
              <w:rPr>
                <w:rFonts w:eastAsia="Times New Roman"/>
                <w:color w:val="000000"/>
                <w:lang w:eastAsia="en-CA"/>
              </w:rPr>
            </w:pPr>
            <w:r w:rsidRPr="001E7042">
              <w:rPr>
                <w:rFonts w:eastAsia="Times New Roman"/>
                <w:color w:val="000000"/>
                <w:lang w:eastAsia="en-CA"/>
              </w:rPr>
              <w:t>If you are contacted by Human Resources as part of our selection process and require any support and/or assistive devices throughout our recruitment and selection process, please notify the Human Resources representative who has contacted you. </w:t>
            </w:r>
          </w:p>
          <w:p w14:paraId="783551FE" w14:textId="3688E23A" w:rsidR="00740336" w:rsidRPr="001F3A4E" w:rsidRDefault="00740336" w:rsidP="00740336">
            <w:pPr>
              <w:shd w:val="clear" w:color="auto" w:fill="FFFFFF"/>
              <w:spacing w:before="225" w:after="225"/>
              <w:rPr>
                <w:color w:val="FF0000"/>
                <w:highlight w:val="yellow"/>
              </w:rPr>
            </w:pPr>
            <w:r w:rsidRPr="000414E9">
              <w:rPr>
                <w:rFonts w:eastAsia="Times New Roman"/>
                <w:color w:val="000000"/>
                <w:lang w:eastAsia="en-CA"/>
              </w:rPr>
              <w:lastRenderedPageBreak/>
              <w:t xml:space="preserve">For more information on SWPH’s commitment to an accessible environment for persons with disabilities, please visit </w:t>
            </w:r>
            <w:r w:rsidRPr="000414E9">
              <w:rPr>
                <w:rFonts w:eastAsia="Times New Roman"/>
                <w:lang w:eastAsia="en-CA"/>
              </w:rPr>
              <w:t>our </w:t>
            </w:r>
            <w:hyperlink r:id="rId13" w:tooltip="View our Accessibility page" w:history="1">
              <w:r w:rsidRPr="000414E9">
                <w:rPr>
                  <w:rFonts w:eastAsia="Times New Roman"/>
                  <w:b/>
                  <w:bCs/>
                  <w:highlight w:val="yellow"/>
                  <w:lang w:eastAsia="en-CA"/>
                </w:rPr>
                <w:t>accessibility page.</w:t>
              </w:r>
            </w:hyperlink>
          </w:p>
        </w:tc>
        <w:tc>
          <w:tcPr>
            <w:tcW w:w="4820" w:type="dxa"/>
          </w:tcPr>
          <w:p w14:paraId="7D11E6F6" w14:textId="77777777" w:rsidR="00740336" w:rsidRPr="00C46C8F" w:rsidRDefault="00D2709C" w:rsidP="00740336">
            <w:r w:rsidRPr="00C46C8F">
              <w:lastRenderedPageBreak/>
              <w:t>Manager, Human Resources</w:t>
            </w:r>
          </w:p>
          <w:p w14:paraId="707018B1" w14:textId="7F2DD3EB" w:rsidR="00D2709C" w:rsidRPr="00C46C8F" w:rsidRDefault="00D2709C" w:rsidP="00740336">
            <w:r w:rsidRPr="00C46C8F">
              <w:t>Director, Corporate Services</w:t>
            </w:r>
          </w:p>
        </w:tc>
      </w:tr>
      <w:tr w:rsidR="00D2709C" w:rsidRPr="0080449A" w14:paraId="48D5DDF4" w14:textId="1770251B" w:rsidTr="00740336">
        <w:tc>
          <w:tcPr>
            <w:tcW w:w="2127" w:type="dxa"/>
            <w:vMerge/>
          </w:tcPr>
          <w:p w14:paraId="73126463" w14:textId="5264793B" w:rsidR="00D2709C" w:rsidRPr="0080449A" w:rsidRDefault="00D2709C" w:rsidP="00D2709C"/>
        </w:tc>
        <w:tc>
          <w:tcPr>
            <w:tcW w:w="2977" w:type="dxa"/>
          </w:tcPr>
          <w:p w14:paraId="23A212CB" w14:textId="300F9707"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23 </w:t>
            </w:r>
            <w:r w:rsidRPr="0080449A">
              <w:rPr>
                <w:rFonts w:ascii="Arial" w:hAnsi="Arial" w:cs="Arial"/>
              </w:rPr>
              <w:t xml:space="preserve">Notify applicants who have been invited to participate in a recruitment, assessment, or selection process that accommodations are available. </w:t>
            </w:r>
          </w:p>
        </w:tc>
        <w:tc>
          <w:tcPr>
            <w:tcW w:w="1842" w:type="dxa"/>
          </w:tcPr>
          <w:p w14:paraId="1BB7ADB8" w14:textId="132535E9" w:rsidR="00D2709C" w:rsidRPr="0080449A" w:rsidRDefault="00D2709C" w:rsidP="00D2709C">
            <w:r>
              <w:t>January 1, 2014</w:t>
            </w:r>
          </w:p>
        </w:tc>
        <w:tc>
          <w:tcPr>
            <w:tcW w:w="1560" w:type="dxa"/>
          </w:tcPr>
          <w:p w14:paraId="7090399E" w14:textId="6396EE1A" w:rsidR="00D2709C" w:rsidRPr="0080449A" w:rsidRDefault="00D2709C" w:rsidP="00D2709C">
            <w:r>
              <w:t>Compliant</w:t>
            </w:r>
          </w:p>
        </w:tc>
        <w:tc>
          <w:tcPr>
            <w:tcW w:w="5386" w:type="dxa"/>
          </w:tcPr>
          <w:p w14:paraId="67FF5111" w14:textId="73C15FF0" w:rsidR="00D2709C" w:rsidRPr="0080449A" w:rsidRDefault="00D2709C" w:rsidP="00D2709C">
            <w:pPr>
              <w:rPr>
                <w:color w:val="FF0000"/>
              </w:rPr>
            </w:pPr>
            <w:r w:rsidRPr="001E7042">
              <w:rPr>
                <w:rFonts w:eastAsia="Times New Roman"/>
                <w:lang w:eastAsia="en-CA"/>
              </w:rPr>
              <w:t>SWPH notifies all applicants who have been invited to participate in a recruitment assessment or selection process that accommodations are available</w:t>
            </w:r>
            <w:r w:rsidRPr="0080449A">
              <w:rPr>
                <w:rFonts w:eastAsia="Times New Roman"/>
                <w:lang w:eastAsia="en-CA"/>
              </w:rPr>
              <w:t>.</w:t>
            </w:r>
          </w:p>
        </w:tc>
        <w:tc>
          <w:tcPr>
            <w:tcW w:w="4820" w:type="dxa"/>
          </w:tcPr>
          <w:p w14:paraId="67E5198A" w14:textId="77777777" w:rsidR="00D2709C" w:rsidRPr="00C46C8F" w:rsidRDefault="00D2709C" w:rsidP="00D2709C">
            <w:r w:rsidRPr="00C46C8F">
              <w:t>Manager, Human Resources</w:t>
            </w:r>
          </w:p>
          <w:p w14:paraId="444C3860" w14:textId="5B11A9B5" w:rsidR="00D2709C" w:rsidRPr="00C46C8F" w:rsidRDefault="00D2709C" w:rsidP="00D2709C">
            <w:pPr>
              <w:rPr>
                <w:rFonts w:eastAsia="Times New Roman"/>
                <w:lang w:eastAsia="en-CA"/>
              </w:rPr>
            </w:pPr>
            <w:r w:rsidRPr="00C46C8F">
              <w:t>Director, Corporate Services</w:t>
            </w:r>
          </w:p>
        </w:tc>
      </w:tr>
      <w:tr w:rsidR="00D2709C" w:rsidRPr="0080449A" w14:paraId="546777AD" w14:textId="3B1BA43A" w:rsidTr="00740336">
        <w:tc>
          <w:tcPr>
            <w:tcW w:w="2127" w:type="dxa"/>
            <w:vMerge/>
          </w:tcPr>
          <w:p w14:paraId="5678FB8F" w14:textId="77777777" w:rsidR="00D2709C" w:rsidRPr="0080449A" w:rsidRDefault="00D2709C" w:rsidP="00D2709C"/>
        </w:tc>
        <w:tc>
          <w:tcPr>
            <w:tcW w:w="2977" w:type="dxa"/>
          </w:tcPr>
          <w:p w14:paraId="7A577F54" w14:textId="1591F7C6"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24 </w:t>
            </w:r>
            <w:r w:rsidRPr="0080449A">
              <w:rPr>
                <w:rFonts w:ascii="Arial" w:hAnsi="Arial" w:cs="Arial"/>
              </w:rPr>
              <w:t xml:space="preserve">Offers of Employment - notify successful applicant of policies for accommodating employees with disabilities. </w:t>
            </w:r>
          </w:p>
        </w:tc>
        <w:tc>
          <w:tcPr>
            <w:tcW w:w="1842" w:type="dxa"/>
          </w:tcPr>
          <w:p w14:paraId="09BCA651" w14:textId="51AEF3B3" w:rsidR="00D2709C" w:rsidRPr="0080449A" w:rsidRDefault="00D2709C" w:rsidP="00D2709C">
            <w:r>
              <w:t>January 1, 2014</w:t>
            </w:r>
          </w:p>
        </w:tc>
        <w:tc>
          <w:tcPr>
            <w:tcW w:w="1560" w:type="dxa"/>
          </w:tcPr>
          <w:p w14:paraId="25451B03" w14:textId="303C6DEE" w:rsidR="00D2709C" w:rsidRPr="0080449A" w:rsidRDefault="00D2709C" w:rsidP="00D2709C">
            <w:r>
              <w:t xml:space="preserve">Compliant </w:t>
            </w:r>
          </w:p>
        </w:tc>
        <w:tc>
          <w:tcPr>
            <w:tcW w:w="5386" w:type="dxa"/>
          </w:tcPr>
          <w:p w14:paraId="672A14A9" w14:textId="3BEBC193" w:rsidR="00D2709C" w:rsidRPr="0080449A" w:rsidRDefault="00D2709C" w:rsidP="00D2709C">
            <w:r w:rsidRPr="0080449A">
              <w:t>Offer letters to successful applicant’s</w:t>
            </w:r>
            <w:r>
              <w:t xml:space="preserve"> </w:t>
            </w:r>
            <w:r w:rsidRPr="0080449A">
              <w:t xml:space="preserve">reference </w:t>
            </w:r>
            <w:r>
              <w:t xml:space="preserve">available </w:t>
            </w:r>
            <w:r w:rsidRPr="0080449A">
              <w:t>accommodations for those with disabilities as well as our commitment to customer service standards.</w:t>
            </w:r>
            <w:r w:rsidRPr="0080449A">
              <w:rPr>
                <w:rFonts w:eastAsia="Times New Roman"/>
                <w:lang w:eastAsia="en-CA"/>
              </w:rPr>
              <w:t xml:space="preserve"> </w:t>
            </w:r>
          </w:p>
        </w:tc>
        <w:tc>
          <w:tcPr>
            <w:tcW w:w="4820" w:type="dxa"/>
          </w:tcPr>
          <w:p w14:paraId="1A17919F" w14:textId="77777777" w:rsidR="00D2709C" w:rsidRPr="00C46C8F" w:rsidRDefault="00D2709C" w:rsidP="00D2709C">
            <w:r w:rsidRPr="00C46C8F">
              <w:t>Manager, Human Resources</w:t>
            </w:r>
          </w:p>
          <w:p w14:paraId="2E780762" w14:textId="153A46D3" w:rsidR="00D2709C" w:rsidRPr="00C46C8F" w:rsidRDefault="00D2709C" w:rsidP="00D2709C">
            <w:r w:rsidRPr="00C46C8F">
              <w:t>Director, Corporate Services</w:t>
            </w:r>
          </w:p>
        </w:tc>
      </w:tr>
      <w:tr w:rsidR="00D2709C" w:rsidRPr="0080449A" w14:paraId="471B8C75" w14:textId="4DC00AED" w:rsidTr="00740336">
        <w:tc>
          <w:tcPr>
            <w:tcW w:w="2127" w:type="dxa"/>
            <w:vMerge/>
          </w:tcPr>
          <w:p w14:paraId="6111013E" w14:textId="77777777" w:rsidR="00D2709C" w:rsidRPr="0080449A" w:rsidRDefault="00D2709C" w:rsidP="00D2709C"/>
        </w:tc>
        <w:tc>
          <w:tcPr>
            <w:tcW w:w="2977" w:type="dxa"/>
          </w:tcPr>
          <w:p w14:paraId="6469949E" w14:textId="2BA96778"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25 </w:t>
            </w:r>
            <w:r w:rsidRPr="0080449A">
              <w:rPr>
                <w:rFonts w:ascii="Arial" w:hAnsi="Arial" w:cs="Arial"/>
              </w:rPr>
              <w:t>Informing Employees of Supports - all employees must be informed of policies used to support employees with disabilities (existing employees, new hires and when there is a change to the policy)</w:t>
            </w:r>
            <w:r>
              <w:rPr>
                <w:rFonts w:ascii="Arial" w:hAnsi="Arial" w:cs="Arial"/>
              </w:rPr>
              <w:t>.</w:t>
            </w:r>
          </w:p>
        </w:tc>
        <w:tc>
          <w:tcPr>
            <w:tcW w:w="1842" w:type="dxa"/>
          </w:tcPr>
          <w:p w14:paraId="41775D38" w14:textId="45A12598" w:rsidR="00D2709C" w:rsidRPr="0080449A" w:rsidRDefault="00D2709C" w:rsidP="00D2709C">
            <w:r>
              <w:t>January 1, 2014</w:t>
            </w:r>
          </w:p>
        </w:tc>
        <w:tc>
          <w:tcPr>
            <w:tcW w:w="1560" w:type="dxa"/>
          </w:tcPr>
          <w:p w14:paraId="1B4015CC" w14:textId="199F1C32" w:rsidR="00D2709C" w:rsidRPr="0080449A" w:rsidRDefault="00D2709C" w:rsidP="00D2709C">
            <w:r>
              <w:t>Compliant</w:t>
            </w:r>
          </w:p>
        </w:tc>
        <w:tc>
          <w:tcPr>
            <w:tcW w:w="5386" w:type="dxa"/>
          </w:tcPr>
          <w:p w14:paraId="0490EE88" w14:textId="0A5821A8" w:rsidR="00D2709C" w:rsidRPr="0080449A" w:rsidRDefault="00D2709C" w:rsidP="00D2709C">
            <w:r w:rsidRPr="001E7042">
              <w:rPr>
                <w:rFonts w:eastAsia="Times New Roman"/>
                <w:lang w:eastAsia="en-CA"/>
              </w:rPr>
              <w:t>SWPH will inform successful applicant(s) of our policies for accommodating employees with disabilities</w:t>
            </w:r>
            <w:r w:rsidRPr="001E7042">
              <w:t>. Methods for communication may include training available through HR Downloads, Human Resources Policies for Duty to Accommodate, or email.</w:t>
            </w:r>
            <w:r>
              <w:t xml:space="preserve"> </w:t>
            </w:r>
          </w:p>
        </w:tc>
        <w:tc>
          <w:tcPr>
            <w:tcW w:w="4820" w:type="dxa"/>
          </w:tcPr>
          <w:p w14:paraId="526B3809" w14:textId="77777777" w:rsidR="00D2709C" w:rsidRPr="00C46C8F" w:rsidRDefault="00D2709C" w:rsidP="00D2709C">
            <w:r w:rsidRPr="00C46C8F">
              <w:t>Manager, Human Resources</w:t>
            </w:r>
          </w:p>
          <w:p w14:paraId="5B6FF525" w14:textId="76519299" w:rsidR="00D2709C" w:rsidRPr="00C46C8F" w:rsidRDefault="00D2709C" w:rsidP="00D2709C">
            <w:pPr>
              <w:rPr>
                <w:rFonts w:eastAsia="Times New Roman"/>
                <w:lang w:eastAsia="en-CA"/>
              </w:rPr>
            </w:pPr>
            <w:r w:rsidRPr="00C46C8F">
              <w:t>Director, Corporate Services</w:t>
            </w:r>
          </w:p>
        </w:tc>
      </w:tr>
      <w:tr w:rsidR="00D2709C" w:rsidRPr="0080449A" w14:paraId="52F4A5BE" w14:textId="711C7E7B" w:rsidTr="00740336">
        <w:trPr>
          <w:trHeight w:val="950"/>
        </w:trPr>
        <w:tc>
          <w:tcPr>
            <w:tcW w:w="2127" w:type="dxa"/>
          </w:tcPr>
          <w:p w14:paraId="7C59AFE3" w14:textId="43DE9A71" w:rsidR="00D2709C" w:rsidRPr="0080449A" w:rsidRDefault="00D2709C" w:rsidP="00D2709C">
            <w:r w:rsidRPr="0080449A">
              <w:lastRenderedPageBreak/>
              <w:t>Accessible formats and communication support for employees</w:t>
            </w:r>
          </w:p>
        </w:tc>
        <w:tc>
          <w:tcPr>
            <w:tcW w:w="2977" w:type="dxa"/>
          </w:tcPr>
          <w:p w14:paraId="17BD862D" w14:textId="13665B9E"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26 </w:t>
            </w:r>
            <w:r w:rsidRPr="0080449A">
              <w:rPr>
                <w:rFonts w:ascii="Arial" w:hAnsi="Arial" w:cs="Arial"/>
              </w:rPr>
              <w:t xml:space="preserve">Must provide in an accessible format information needed to perform the job and information which is generally available to employees in the workplace. </w:t>
            </w:r>
          </w:p>
        </w:tc>
        <w:tc>
          <w:tcPr>
            <w:tcW w:w="1842" w:type="dxa"/>
          </w:tcPr>
          <w:p w14:paraId="08A34246" w14:textId="77777777" w:rsidR="00D2709C" w:rsidRPr="0080449A" w:rsidRDefault="00D2709C" w:rsidP="00D2709C">
            <w:r w:rsidRPr="0080449A">
              <w:t>January 1, 2014</w:t>
            </w:r>
          </w:p>
          <w:p w14:paraId="5CD11B07" w14:textId="39559B51" w:rsidR="00D2709C" w:rsidRPr="0080449A" w:rsidRDefault="00D2709C" w:rsidP="00D2709C"/>
        </w:tc>
        <w:tc>
          <w:tcPr>
            <w:tcW w:w="1560" w:type="dxa"/>
          </w:tcPr>
          <w:p w14:paraId="4F18555E" w14:textId="77777777" w:rsidR="00D2709C" w:rsidRPr="0080449A" w:rsidRDefault="00D2709C" w:rsidP="00D2709C">
            <w:r w:rsidRPr="0080449A">
              <w:t>Compliant</w:t>
            </w:r>
          </w:p>
          <w:p w14:paraId="5D06BB99" w14:textId="7CF584F8" w:rsidR="00D2709C" w:rsidRPr="0080449A" w:rsidRDefault="00D2709C" w:rsidP="00D2709C"/>
        </w:tc>
        <w:tc>
          <w:tcPr>
            <w:tcW w:w="5386" w:type="dxa"/>
            <w:shd w:val="clear" w:color="auto" w:fill="auto"/>
          </w:tcPr>
          <w:p w14:paraId="6657D78A" w14:textId="72419405" w:rsidR="00D2709C" w:rsidRPr="001E7042" w:rsidRDefault="00D2709C" w:rsidP="00D2709C">
            <w:pPr>
              <w:rPr>
                <w:color w:val="FF0000"/>
              </w:rPr>
            </w:pPr>
            <w:r w:rsidRPr="001E7042">
              <w:t>SWPH maintains specific Human Resource Polices for all employees regarding accessibility and accommodations. Duty to Accommodate Policies are reviewed every 2 years and any changes to policies are communicated to all staff. SWPH will consult with employees with a disability to determine which accessible formats or communication supports are required to perform their duties. Individual accommodation plans will be completed, and the supports provided by SWPH will be noted in the plan.</w:t>
            </w:r>
          </w:p>
        </w:tc>
        <w:tc>
          <w:tcPr>
            <w:tcW w:w="4820" w:type="dxa"/>
          </w:tcPr>
          <w:p w14:paraId="409510FA" w14:textId="77777777" w:rsidR="00D2709C" w:rsidRPr="00C46C8F" w:rsidRDefault="00D2709C" w:rsidP="00D2709C">
            <w:r w:rsidRPr="00C46C8F">
              <w:t>Manager, Human Resources</w:t>
            </w:r>
          </w:p>
          <w:p w14:paraId="6D2D200E" w14:textId="31B91C2A" w:rsidR="00D2709C" w:rsidRPr="00C46C8F" w:rsidRDefault="00D2709C" w:rsidP="00D2709C">
            <w:r w:rsidRPr="00C46C8F">
              <w:t>Director, Corporate Services</w:t>
            </w:r>
          </w:p>
        </w:tc>
      </w:tr>
      <w:tr w:rsidR="00D2709C" w:rsidRPr="0080449A" w14:paraId="7AA68590" w14:textId="77339E29" w:rsidTr="00740336">
        <w:trPr>
          <w:trHeight w:val="602"/>
        </w:trPr>
        <w:tc>
          <w:tcPr>
            <w:tcW w:w="2127" w:type="dxa"/>
          </w:tcPr>
          <w:p w14:paraId="722013C7" w14:textId="4DD7CA53" w:rsidR="00D2709C" w:rsidRPr="0080449A" w:rsidRDefault="00D2709C" w:rsidP="00D2709C">
            <w:r w:rsidRPr="0080449A">
              <w:t>Workplace emergency response information</w:t>
            </w:r>
          </w:p>
        </w:tc>
        <w:tc>
          <w:tcPr>
            <w:tcW w:w="2977" w:type="dxa"/>
          </w:tcPr>
          <w:p w14:paraId="53A3B05A" w14:textId="3D7A2EE8"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27 </w:t>
            </w:r>
            <w:r w:rsidRPr="0080449A">
              <w:rPr>
                <w:rFonts w:ascii="Arial" w:hAnsi="Arial" w:cs="Arial"/>
              </w:rPr>
              <w:t xml:space="preserve">Provide individualized workplace emergency response information; prepare for the specific needs employees with disabilities may have in emergency situations. </w:t>
            </w:r>
          </w:p>
        </w:tc>
        <w:tc>
          <w:tcPr>
            <w:tcW w:w="1842" w:type="dxa"/>
          </w:tcPr>
          <w:p w14:paraId="49B15EA9" w14:textId="3C908BF3" w:rsidR="00D2709C" w:rsidRPr="0080449A" w:rsidRDefault="00D2709C" w:rsidP="00D2709C">
            <w:r>
              <w:t>January 1, 2012</w:t>
            </w:r>
          </w:p>
        </w:tc>
        <w:tc>
          <w:tcPr>
            <w:tcW w:w="1560" w:type="dxa"/>
          </w:tcPr>
          <w:p w14:paraId="34895DCD" w14:textId="48F3E155" w:rsidR="00D2709C" w:rsidRPr="0080449A" w:rsidRDefault="00D2709C" w:rsidP="00D2709C"/>
        </w:tc>
        <w:tc>
          <w:tcPr>
            <w:tcW w:w="5386" w:type="dxa"/>
            <w:shd w:val="clear" w:color="auto" w:fill="auto"/>
          </w:tcPr>
          <w:p w14:paraId="14E0443D" w14:textId="027F0C2D" w:rsidR="00D2709C" w:rsidRPr="001E7042" w:rsidRDefault="00D2709C" w:rsidP="00D2709C">
            <w:r w:rsidRPr="001E7042">
              <w:t xml:space="preserve">SWPH will create individualized workplace emergency response plans for employees who have a disability and require accommodations and or supports to evacuate the workplace in an emergency. With employee consent, the person designated as </w:t>
            </w:r>
            <w:r w:rsidR="00866073" w:rsidRPr="001E7042">
              <w:t>aiding</w:t>
            </w:r>
            <w:r w:rsidRPr="001E7042">
              <w:t xml:space="preserve"> will be provided with the information required to assist the employee with the disability. </w:t>
            </w:r>
          </w:p>
        </w:tc>
        <w:tc>
          <w:tcPr>
            <w:tcW w:w="4820" w:type="dxa"/>
          </w:tcPr>
          <w:p w14:paraId="7DA19F13" w14:textId="77777777" w:rsidR="00D2709C" w:rsidRPr="00C46C8F" w:rsidRDefault="00D2709C" w:rsidP="00D2709C">
            <w:r w:rsidRPr="00C46C8F">
              <w:t>Manager, Human Resources</w:t>
            </w:r>
          </w:p>
          <w:p w14:paraId="12478C73" w14:textId="3C60967C" w:rsidR="00D2709C" w:rsidRPr="00C46C8F" w:rsidRDefault="00D2709C" w:rsidP="00D2709C">
            <w:r w:rsidRPr="00C46C8F">
              <w:t>Director, Corporate Services</w:t>
            </w:r>
          </w:p>
        </w:tc>
      </w:tr>
      <w:tr w:rsidR="00D2709C" w:rsidRPr="0080449A" w14:paraId="3735C90A" w14:textId="5DE3CD80" w:rsidTr="00740336">
        <w:trPr>
          <w:trHeight w:val="1272"/>
        </w:trPr>
        <w:tc>
          <w:tcPr>
            <w:tcW w:w="2127" w:type="dxa"/>
          </w:tcPr>
          <w:p w14:paraId="129DEA58" w14:textId="186C982C" w:rsidR="00D2709C" w:rsidRPr="0080449A" w:rsidRDefault="00D2709C" w:rsidP="00D2709C">
            <w:r w:rsidRPr="0080449A">
              <w:t>Documented individual accommodation plans</w:t>
            </w:r>
          </w:p>
        </w:tc>
        <w:tc>
          <w:tcPr>
            <w:tcW w:w="2977" w:type="dxa"/>
          </w:tcPr>
          <w:p w14:paraId="4F33FB06" w14:textId="5140C95F"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28 </w:t>
            </w:r>
            <w:r w:rsidRPr="0080449A">
              <w:rPr>
                <w:rFonts w:ascii="Arial" w:hAnsi="Arial" w:cs="Arial"/>
              </w:rPr>
              <w:t>Develop and document individual accommodation plans for employees with disabilities; employee involvement, outside medical or expert evaluation; review frequency.</w:t>
            </w:r>
          </w:p>
        </w:tc>
        <w:tc>
          <w:tcPr>
            <w:tcW w:w="1842" w:type="dxa"/>
          </w:tcPr>
          <w:p w14:paraId="1831F2D8" w14:textId="66410A14" w:rsidR="00D2709C" w:rsidRPr="0080449A" w:rsidRDefault="00D2709C" w:rsidP="00D2709C">
            <w:r>
              <w:t>January 1, 2014</w:t>
            </w:r>
          </w:p>
        </w:tc>
        <w:tc>
          <w:tcPr>
            <w:tcW w:w="1560" w:type="dxa"/>
          </w:tcPr>
          <w:p w14:paraId="4F3DFDE4" w14:textId="10FE3FBB" w:rsidR="00D2709C" w:rsidRPr="0080449A" w:rsidRDefault="00D2709C" w:rsidP="00D2709C">
            <w:r>
              <w:t>Compliant</w:t>
            </w:r>
          </w:p>
        </w:tc>
        <w:tc>
          <w:tcPr>
            <w:tcW w:w="5386" w:type="dxa"/>
            <w:shd w:val="clear" w:color="auto" w:fill="auto"/>
          </w:tcPr>
          <w:p w14:paraId="1842013A" w14:textId="62F921D7" w:rsidR="00D2709C" w:rsidRPr="00036B02" w:rsidRDefault="00D2709C" w:rsidP="00D2709C">
            <w:pPr>
              <w:rPr>
                <w:highlight w:val="yellow"/>
              </w:rPr>
            </w:pPr>
            <w:r w:rsidRPr="001E7042">
              <w:t xml:space="preserve">SWPH will create individual accommodation plans for any employee for whom they have been made aware has a disability. There may be times when MLHU will initiate a dialogue to offer assistance and accommodation for employees who are clearly unwell or perceived to have a disability. The employee will be included in the development of the plan. SWPH may seek outside medical or other expert evaluations </w:t>
            </w:r>
            <w:r w:rsidR="000414E9" w:rsidRPr="001E7042">
              <w:t>to</w:t>
            </w:r>
            <w:r w:rsidRPr="001E7042">
              <w:t xml:space="preserve"> provide appropriate supports. The </w:t>
            </w:r>
            <w:r w:rsidRPr="001E7042">
              <w:lastRenderedPageBreak/>
              <w:t>plan will be reviewed when there is a change in the employee’s disability or job.</w:t>
            </w:r>
          </w:p>
        </w:tc>
        <w:tc>
          <w:tcPr>
            <w:tcW w:w="4820" w:type="dxa"/>
          </w:tcPr>
          <w:p w14:paraId="74D4B404" w14:textId="77777777" w:rsidR="00D2709C" w:rsidRPr="00C46C8F" w:rsidRDefault="00D2709C" w:rsidP="00D2709C">
            <w:r w:rsidRPr="00C46C8F">
              <w:lastRenderedPageBreak/>
              <w:t>Manager, Human Resources</w:t>
            </w:r>
          </w:p>
          <w:p w14:paraId="074F8A69" w14:textId="1F0AEB60" w:rsidR="00D2709C" w:rsidRPr="00C46C8F" w:rsidRDefault="00D2709C" w:rsidP="00D2709C">
            <w:r w:rsidRPr="00C46C8F">
              <w:t>Director, Corporate Services</w:t>
            </w:r>
          </w:p>
        </w:tc>
      </w:tr>
      <w:tr w:rsidR="00D2709C" w:rsidRPr="0080449A" w14:paraId="65EFA0FB" w14:textId="117D88A2" w:rsidTr="00740336">
        <w:tc>
          <w:tcPr>
            <w:tcW w:w="2127" w:type="dxa"/>
          </w:tcPr>
          <w:p w14:paraId="0D7314D5" w14:textId="3479A0B3" w:rsidR="00D2709C" w:rsidRPr="0080449A" w:rsidRDefault="00D2709C" w:rsidP="00D2709C">
            <w:r w:rsidRPr="0080449A">
              <w:t>Return to Work Process</w:t>
            </w:r>
          </w:p>
        </w:tc>
        <w:tc>
          <w:tcPr>
            <w:tcW w:w="2977" w:type="dxa"/>
          </w:tcPr>
          <w:p w14:paraId="12F2EC4C" w14:textId="4BB5EE29"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29 </w:t>
            </w:r>
            <w:r w:rsidRPr="0080449A">
              <w:rPr>
                <w:rFonts w:ascii="Arial" w:hAnsi="Arial" w:cs="Arial"/>
              </w:rPr>
              <w:t xml:space="preserve">Develop and have in place a RTW process for employees who have been absent from work due to a disability and require disability-related accommodations to return to work. </w:t>
            </w:r>
          </w:p>
        </w:tc>
        <w:tc>
          <w:tcPr>
            <w:tcW w:w="1842" w:type="dxa"/>
          </w:tcPr>
          <w:p w14:paraId="0C5FECF0" w14:textId="28E3F189" w:rsidR="00D2709C" w:rsidRPr="0080449A" w:rsidRDefault="00D2709C" w:rsidP="00D2709C">
            <w:r>
              <w:t>January 1, 2014</w:t>
            </w:r>
          </w:p>
        </w:tc>
        <w:tc>
          <w:tcPr>
            <w:tcW w:w="1560" w:type="dxa"/>
          </w:tcPr>
          <w:p w14:paraId="5711780C" w14:textId="50CBA5F4" w:rsidR="00D2709C" w:rsidRPr="0080449A" w:rsidRDefault="00D2709C" w:rsidP="00D2709C">
            <w:r>
              <w:t>Compliant</w:t>
            </w:r>
          </w:p>
        </w:tc>
        <w:tc>
          <w:tcPr>
            <w:tcW w:w="5386" w:type="dxa"/>
            <w:shd w:val="clear" w:color="auto" w:fill="auto"/>
          </w:tcPr>
          <w:p w14:paraId="54373B6D" w14:textId="0D06C9A6" w:rsidR="00D2709C" w:rsidRPr="0080449A" w:rsidRDefault="00D2709C" w:rsidP="00D2709C">
            <w:r w:rsidRPr="001E7042">
              <w:rPr>
                <w:rFonts w:eastAsia="Times New Roman"/>
                <w:lang w:eastAsia="en-CA"/>
              </w:rPr>
              <w:t>SWPH has a return-to-work process (RTW) for its employees who have been absent from work due to a disability and who require disability related accommodations to return to work. If an injury is covered under WSIB, the Act’s return to work process would apply.</w:t>
            </w:r>
          </w:p>
        </w:tc>
        <w:tc>
          <w:tcPr>
            <w:tcW w:w="4820" w:type="dxa"/>
          </w:tcPr>
          <w:p w14:paraId="43E107F2" w14:textId="77777777" w:rsidR="00D2709C" w:rsidRPr="00C46C8F" w:rsidRDefault="00D2709C" w:rsidP="00D2709C">
            <w:r w:rsidRPr="00C46C8F">
              <w:t>Manager, Human Resources</w:t>
            </w:r>
          </w:p>
          <w:p w14:paraId="17EF61F5" w14:textId="2AFAB425" w:rsidR="00D2709C" w:rsidRPr="00C46C8F" w:rsidRDefault="00D2709C" w:rsidP="00D2709C">
            <w:pPr>
              <w:rPr>
                <w:rFonts w:eastAsia="Times New Roman"/>
                <w:lang w:eastAsia="en-CA"/>
              </w:rPr>
            </w:pPr>
            <w:r w:rsidRPr="00C46C8F">
              <w:t>Director, Corporate Services</w:t>
            </w:r>
          </w:p>
        </w:tc>
      </w:tr>
      <w:tr w:rsidR="00D2709C" w:rsidRPr="0080449A" w14:paraId="1EC4E0CA" w14:textId="558DA2D5" w:rsidTr="00740336">
        <w:tc>
          <w:tcPr>
            <w:tcW w:w="2127" w:type="dxa"/>
          </w:tcPr>
          <w:p w14:paraId="1BF97154" w14:textId="3916D123" w:rsidR="00D2709C" w:rsidRPr="0080449A" w:rsidRDefault="00D2709C" w:rsidP="00D2709C">
            <w:r w:rsidRPr="0080449A">
              <w:t>Performance Management</w:t>
            </w:r>
          </w:p>
        </w:tc>
        <w:tc>
          <w:tcPr>
            <w:tcW w:w="2977" w:type="dxa"/>
          </w:tcPr>
          <w:p w14:paraId="4B7D7051" w14:textId="1D998C2A"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30 </w:t>
            </w:r>
            <w:proofErr w:type="gramStart"/>
            <w:r w:rsidRPr="0080449A">
              <w:rPr>
                <w:rFonts w:ascii="Arial" w:hAnsi="Arial" w:cs="Arial"/>
              </w:rPr>
              <w:t>Take into account</w:t>
            </w:r>
            <w:proofErr w:type="gramEnd"/>
            <w:r w:rsidRPr="0080449A">
              <w:rPr>
                <w:rFonts w:ascii="Arial" w:hAnsi="Arial" w:cs="Arial"/>
              </w:rPr>
              <w:t xml:space="preserve"> the accessibility needs of employees with disabilities, as well as individual accommodation plans, during the performance management process in respect to employees with disabilities. </w:t>
            </w:r>
          </w:p>
        </w:tc>
        <w:tc>
          <w:tcPr>
            <w:tcW w:w="1842" w:type="dxa"/>
          </w:tcPr>
          <w:p w14:paraId="264AB43C" w14:textId="24FD99B2" w:rsidR="00D2709C" w:rsidRPr="0080449A" w:rsidRDefault="00D2709C" w:rsidP="00D2709C">
            <w:r>
              <w:t>January 1, 2014</w:t>
            </w:r>
          </w:p>
        </w:tc>
        <w:tc>
          <w:tcPr>
            <w:tcW w:w="1560" w:type="dxa"/>
          </w:tcPr>
          <w:p w14:paraId="1AF12F5A" w14:textId="6CB27C1F" w:rsidR="00D2709C" w:rsidRPr="0080449A" w:rsidRDefault="00D2709C" w:rsidP="00D2709C">
            <w:r>
              <w:t>Compliant</w:t>
            </w:r>
          </w:p>
        </w:tc>
        <w:tc>
          <w:tcPr>
            <w:tcW w:w="5386" w:type="dxa"/>
            <w:shd w:val="clear" w:color="auto" w:fill="auto"/>
          </w:tcPr>
          <w:p w14:paraId="31B24319" w14:textId="16820932" w:rsidR="00D2709C" w:rsidRPr="0080449A" w:rsidRDefault="00D2709C" w:rsidP="00D2709C">
            <w:r w:rsidRPr="0080449A">
              <w:rPr>
                <w:rFonts w:eastAsia="Times New Roman"/>
                <w:lang w:eastAsia="en-CA"/>
              </w:rPr>
              <w:t xml:space="preserve">SWPH will consider the accessibility needs (i.e., accommodation plans), of employees with disabilities </w:t>
            </w:r>
            <w:r>
              <w:rPr>
                <w:rFonts w:eastAsia="Times New Roman"/>
                <w:lang w:eastAsia="en-CA"/>
              </w:rPr>
              <w:t xml:space="preserve">in </w:t>
            </w:r>
            <w:r w:rsidRPr="0080449A">
              <w:rPr>
                <w:rFonts w:eastAsia="Times New Roman"/>
                <w:lang w:eastAsia="en-CA"/>
              </w:rPr>
              <w:t>performance management</w:t>
            </w:r>
            <w:r>
              <w:rPr>
                <w:rFonts w:eastAsia="Times New Roman"/>
                <w:lang w:eastAsia="en-CA"/>
              </w:rPr>
              <w:t xml:space="preserve"> process (improving employee performance to facilitate success). </w:t>
            </w:r>
          </w:p>
        </w:tc>
        <w:tc>
          <w:tcPr>
            <w:tcW w:w="4820" w:type="dxa"/>
          </w:tcPr>
          <w:p w14:paraId="5A840F59" w14:textId="77777777" w:rsidR="00D2709C" w:rsidRPr="00C46C8F" w:rsidRDefault="00D2709C" w:rsidP="00D2709C">
            <w:r w:rsidRPr="00C46C8F">
              <w:t>Manager, Human Resources</w:t>
            </w:r>
          </w:p>
          <w:p w14:paraId="35ACB360" w14:textId="174DBAC7" w:rsidR="00D2709C" w:rsidRPr="00C46C8F" w:rsidRDefault="00D2709C" w:rsidP="00D2709C">
            <w:pPr>
              <w:rPr>
                <w:rFonts w:eastAsia="Times New Roman"/>
                <w:lang w:eastAsia="en-CA"/>
              </w:rPr>
            </w:pPr>
            <w:r w:rsidRPr="00C46C8F">
              <w:t>Director, Corporate Services</w:t>
            </w:r>
          </w:p>
        </w:tc>
      </w:tr>
      <w:tr w:rsidR="00D2709C" w:rsidRPr="0080449A" w14:paraId="40D796AE" w14:textId="3D6A363A" w:rsidTr="00740336">
        <w:trPr>
          <w:trHeight w:val="1214"/>
        </w:trPr>
        <w:tc>
          <w:tcPr>
            <w:tcW w:w="2127" w:type="dxa"/>
          </w:tcPr>
          <w:p w14:paraId="304E6B74" w14:textId="42A4877E" w:rsidR="00D2709C" w:rsidRPr="0080449A" w:rsidRDefault="00D2709C" w:rsidP="00D2709C">
            <w:r w:rsidRPr="0080449A">
              <w:t>Career Development and Advancement</w:t>
            </w:r>
          </w:p>
        </w:tc>
        <w:tc>
          <w:tcPr>
            <w:tcW w:w="2977" w:type="dxa"/>
          </w:tcPr>
          <w:p w14:paraId="4B7D077F" w14:textId="1E1FEAC5"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31 </w:t>
            </w:r>
            <w:r w:rsidRPr="0080449A">
              <w:rPr>
                <w:rFonts w:ascii="Arial" w:hAnsi="Arial" w:cs="Arial"/>
              </w:rPr>
              <w:t xml:space="preserve">Includes providing additional responsibilities within an employee's current position and the </w:t>
            </w:r>
            <w:r w:rsidRPr="0080449A">
              <w:rPr>
                <w:rFonts w:ascii="Arial" w:hAnsi="Arial" w:cs="Arial"/>
              </w:rPr>
              <w:lastRenderedPageBreak/>
              <w:t xml:space="preserve">movement of an employee from one job to another in an org. that may be higher in pay, provide greater responsibility or be at a higher level in the org. or any combination of them and, for both additional responsibilities and employee movement, is usually based on merit or seniority, or a combination of them. </w:t>
            </w:r>
          </w:p>
        </w:tc>
        <w:tc>
          <w:tcPr>
            <w:tcW w:w="1842" w:type="dxa"/>
          </w:tcPr>
          <w:p w14:paraId="1695827C" w14:textId="68765175" w:rsidR="00D2709C" w:rsidRPr="0080449A" w:rsidRDefault="00D2709C" w:rsidP="00D2709C">
            <w:r>
              <w:lastRenderedPageBreak/>
              <w:t>January 1, 2014</w:t>
            </w:r>
          </w:p>
        </w:tc>
        <w:tc>
          <w:tcPr>
            <w:tcW w:w="1560" w:type="dxa"/>
          </w:tcPr>
          <w:p w14:paraId="00BB7F61" w14:textId="7F64F96F" w:rsidR="00D2709C" w:rsidRPr="0080449A" w:rsidRDefault="00D2709C" w:rsidP="00D2709C">
            <w:r>
              <w:t>Compliant</w:t>
            </w:r>
          </w:p>
        </w:tc>
        <w:tc>
          <w:tcPr>
            <w:tcW w:w="5386" w:type="dxa"/>
            <w:shd w:val="clear" w:color="auto" w:fill="auto"/>
          </w:tcPr>
          <w:p w14:paraId="341265C9" w14:textId="115F63C8" w:rsidR="00D2709C" w:rsidRPr="0080449A" w:rsidRDefault="00D2709C" w:rsidP="00D2709C">
            <w:r w:rsidRPr="0080449A">
              <w:rPr>
                <w:rFonts w:eastAsia="Times New Roman"/>
                <w:lang w:eastAsia="en-CA"/>
              </w:rPr>
              <w:t>SWPH will consider what accommodations employees with disabilities may need to succeed elsewhere, or with new duties within the organization</w:t>
            </w:r>
            <w:r>
              <w:rPr>
                <w:rFonts w:eastAsia="Times New Roman"/>
                <w:lang w:eastAsia="en-CA"/>
              </w:rPr>
              <w:t xml:space="preserve">. Any existing individual </w:t>
            </w:r>
            <w:r>
              <w:rPr>
                <w:rFonts w:eastAsia="Times New Roman"/>
                <w:lang w:eastAsia="en-CA"/>
              </w:rPr>
              <w:lastRenderedPageBreak/>
              <w:t>accommodation plans in place, will also be updated to reflect new duties.</w:t>
            </w:r>
          </w:p>
        </w:tc>
        <w:tc>
          <w:tcPr>
            <w:tcW w:w="4820" w:type="dxa"/>
          </w:tcPr>
          <w:p w14:paraId="1DCCA845" w14:textId="77777777" w:rsidR="00D2709C" w:rsidRPr="00C46C8F" w:rsidRDefault="00D2709C" w:rsidP="00D2709C">
            <w:r w:rsidRPr="00C46C8F">
              <w:lastRenderedPageBreak/>
              <w:t>Manager, Human Resources</w:t>
            </w:r>
          </w:p>
          <w:p w14:paraId="2EAF2C6F" w14:textId="4F602832" w:rsidR="00D2709C" w:rsidRPr="00C46C8F" w:rsidRDefault="00D2709C" w:rsidP="00D2709C">
            <w:pPr>
              <w:rPr>
                <w:rFonts w:eastAsia="Times New Roman"/>
                <w:lang w:eastAsia="en-CA"/>
              </w:rPr>
            </w:pPr>
            <w:r w:rsidRPr="00C46C8F">
              <w:t>Director, Corporate Services</w:t>
            </w:r>
          </w:p>
        </w:tc>
      </w:tr>
      <w:tr w:rsidR="00D2709C" w:rsidRPr="0080449A" w14:paraId="08FDA833" w14:textId="11485E3E" w:rsidTr="00740336">
        <w:tc>
          <w:tcPr>
            <w:tcW w:w="2127" w:type="dxa"/>
          </w:tcPr>
          <w:p w14:paraId="6540D3C3" w14:textId="4E3F3C49" w:rsidR="00D2709C" w:rsidRPr="0080449A" w:rsidRDefault="00D2709C" w:rsidP="00D2709C">
            <w:r w:rsidRPr="0080449A">
              <w:t>Redeployment</w:t>
            </w:r>
          </w:p>
        </w:tc>
        <w:tc>
          <w:tcPr>
            <w:tcW w:w="2977" w:type="dxa"/>
          </w:tcPr>
          <w:p w14:paraId="0308BF9A" w14:textId="1650900D"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32 </w:t>
            </w:r>
            <w:r w:rsidRPr="0080449A">
              <w:rPr>
                <w:rFonts w:ascii="Arial" w:hAnsi="Arial" w:cs="Arial"/>
              </w:rPr>
              <w:t xml:space="preserve">Reassignment of employees to other departments or jobs within the organization as an alternative to layoff, when a particular job or department has been eliminated by the organization. </w:t>
            </w:r>
          </w:p>
        </w:tc>
        <w:tc>
          <w:tcPr>
            <w:tcW w:w="1842" w:type="dxa"/>
          </w:tcPr>
          <w:p w14:paraId="01AB2FAC" w14:textId="76228A92" w:rsidR="00D2709C" w:rsidRPr="0080449A" w:rsidRDefault="00D2709C" w:rsidP="00D2709C">
            <w:r>
              <w:t>January 1, 2014</w:t>
            </w:r>
          </w:p>
        </w:tc>
        <w:tc>
          <w:tcPr>
            <w:tcW w:w="1560" w:type="dxa"/>
          </w:tcPr>
          <w:p w14:paraId="1F5079DC" w14:textId="61FBD0F3" w:rsidR="00D2709C" w:rsidRPr="0080449A" w:rsidRDefault="00D2709C" w:rsidP="00D2709C">
            <w:r>
              <w:t>Compliant</w:t>
            </w:r>
          </w:p>
        </w:tc>
        <w:tc>
          <w:tcPr>
            <w:tcW w:w="5386" w:type="dxa"/>
            <w:shd w:val="clear" w:color="auto" w:fill="auto"/>
          </w:tcPr>
          <w:p w14:paraId="6D5FA303" w14:textId="285BFB12" w:rsidR="00D2709C" w:rsidRPr="0080449A" w:rsidRDefault="00D2709C" w:rsidP="00D2709C">
            <w:r w:rsidRPr="0080449A">
              <w:rPr>
                <w:rFonts w:eastAsia="Times New Roman"/>
                <w:lang w:eastAsia="en-CA"/>
              </w:rPr>
              <w:t>SWPH will strive to accommodate individuals in their job first but will search for comparable position within organization if restrictions and limitations prohibit.</w:t>
            </w:r>
            <w:r>
              <w:rPr>
                <w:rFonts w:eastAsia="Times New Roman"/>
                <w:lang w:eastAsia="en-CA"/>
              </w:rPr>
              <w:t xml:space="preserve"> Any existing individual accommodation plans in place, will also be updated to reflect new duties.</w:t>
            </w:r>
          </w:p>
        </w:tc>
        <w:tc>
          <w:tcPr>
            <w:tcW w:w="4820" w:type="dxa"/>
          </w:tcPr>
          <w:p w14:paraId="07D6BBA7" w14:textId="77777777" w:rsidR="00D2709C" w:rsidRPr="00C46C8F" w:rsidRDefault="00D2709C" w:rsidP="00D2709C">
            <w:r w:rsidRPr="00C46C8F">
              <w:t>Manager, Human Resources</w:t>
            </w:r>
          </w:p>
          <w:p w14:paraId="205421AE" w14:textId="53E9B475" w:rsidR="00D2709C" w:rsidRPr="00C46C8F" w:rsidRDefault="00D2709C" w:rsidP="00D2709C">
            <w:pPr>
              <w:rPr>
                <w:rFonts w:eastAsia="Times New Roman"/>
                <w:lang w:eastAsia="en-CA"/>
              </w:rPr>
            </w:pPr>
            <w:r w:rsidRPr="00C46C8F">
              <w:t>Director, Corporate Services</w:t>
            </w:r>
          </w:p>
        </w:tc>
      </w:tr>
      <w:tr w:rsidR="00D2709C" w:rsidRPr="0080449A" w14:paraId="6D557A09" w14:textId="569CC9AE" w:rsidTr="00740336">
        <w:trPr>
          <w:trHeight w:val="409"/>
        </w:trPr>
        <w:tc>
          <w:tcPr>
            <w:tcW w:w="13892" w:type="dxa"/>
            <w:gridSpan w:val="5"/>
            <w:shd w:val="clear" w:color="auto" w:fill="C6D9F1" w:themeFill="text2" w:themeFillTint="33"/>
          </w:tcPr>
          <w:p w14:paraId="6D8047F5" w14:textId="6F43FBDC" w:rsidR="00D2709C" w:rsidRPr="0080449A" w:rsidRDefault="00D2709C" w:rsidP="00D2709C">
            <w:pPr>
              <w:rPr>
                <w:b/>
                <w:bCs/>
              </w:rPr>
            </w:pPr>
            <w:r w:rsidRPr="0080449A">
              <w:rPr>
                <w:b/>
                <w:bCs/>
              </w:rPr>
              <w:t>Design of Public Spaces Standards</w:t>
            </w:r>
            <w:r>
              <w:rPr>
                <w:b/>
                <w:bCs/>
              </w:rPr>
              <w:t xml:space="preserve"> Category</w:t>
            </w:r>
          </w:p>
        </w:tc>
        <w:tc>
          <w:tcPr>
            <w:tcW w:w="4820" w:type="dxa"/>
            <w:shd w:val="clear" w:color="auto" w:fill="C6D9F1" w:themeFill="text2" w:themeFillTint="33"/>
          </w:tcPr>
          <w:p w14:paraId="57F1FE43" w14:textId="77777777" w:rsidR="00D2709C" w:rsidRPr="0080449A" w:rsidRDefault="00D2709C" w:rsidP="00D2709C">
            <w:pPr>
              <w:rPr>
                <w:b/>
                <w:bCs/>
              </w:rPr>
            </w:pPr>
          </w:p>
        </w:tc>
      </w:tr>
      <w:tr w:rsidR="00D2709C" w:rsidRPr="0080449A" w14:paraId="321ED42C" w14:textId="79B43950" w:rsidTr="00740336">
        <w:trPr>
          <w:trHeight w:val="945"/>
        </w:trPr>
        <w:tc>
          <w:tcPr>
            <w:tcW w:w="2127" w:type="dxa"/>
          </w:tcPr>
          <w:p w14:paraId="538D583B" w14:textId="31938C32" w:rsidR="00D2709C" w:rsidRPr="0080449A" w:rsidRDefault="00D2709C" w:rsidP="00D2709C">
            <w:r w:rsidRPr="0080449A">
              <w:t>Exterior Paths of Travel</w:t>
            </w:r>
          </w:p>
        </w:tc>
        <w:tc>
          <w:tcPr>
            <w:tcW w:w="2977" w:type="dxa"/>
          </w:tcPr>
          <w:p w14:paraId="707EB1E3" w14:textId="1AB98052" w:rsidR="00D2709C" w:rsidRPr="0080449A" w:rsidRDefault="00D2709C" w:rsidP="00D2709C">
            <w:pPr>
              <w:pStyle w:val="Default"/>
              <w:rPr>
                <w:rFonts w:ascii="Arial" w:eastAsia="Times New Roman" w:hAnsi="Arial" w:cs="Arial"/>
                <w:lang w:eastAsia="en-CA"/>
              </w:rPr>
            </w:pPr>
            <w:r w:rsidRPr="0080449A">
              <w:rPr>
                <w:rFonts w:ascii="Arial" w:hAnsi="Arial" w:cs="Arial"/>
                <w:b/>
                <w:bCs/>
              </w:rPr>
              <w:t xml:space="preserve">Sec. 80.21 </w:t>
            </w:r>
            <w:r w:rsidRPr="0080449A">
              <w:rPr>
                <w:rFonts w:ascii="Arial" w:hAnsi="Arial" w:cs="Arial"/>
                <w:color w:val="212121"/>
              </w:rPr>
              <w:t xml:space="preserve">Applies to newly constructed and redeveloped exterior paths of travel that are </w:t>
            </w:r>
            <w:r w:rsidRPr="0080449A">
              <w:rPr>
                <w:rFonts w:ascii="Arial" w:hAnsi="Arial" w:cs="Arial"/>
                <w:color w:val="212121"/>
              </w:rPr>
              <w:lastRenderedPageBreak/>
              <w:t>outdoor sidewalks or walkways designed and constructed for pedestrian travel and are intended to serve a functional purpose and not to provide a recreational experience. O. Reg. 413/12, s. 6.</w:t>
            </w:r>
            <w:r>
              <w:rPr>
                <w:rFonts w:ascii="Arial" w:hAnsi="Arial" w:cs="Arial"/>
                <w:color w:val="212121"/>
              </w:rPr>
              <w:t xml:space="preserve"> </w:t>
            </w:r>
          </w:p>
        </w:tc>
        <w:tc>
          <w:tcPr>
            <w:tcW w:w="1842" w:type="dxa"/>
          </w:tcPr>
          <w:p w14:paraId="477B453B" w14:textId="0F588AB5" w:rsidR="00D2709C" w:rsidRPr="0080449A" w:rsidRDefault="00D2709C" w:rsidP="00D2709C">
            <w:r w:rsidRPr="0080449A">
              <w:lastRenderedPageBreak/>
              <w:t>January 1, 2017</w:t>
            </w:r>
          </w:p>
        </w:tc>
        <w:tc>
          <w:tcPr>
            <w:tcW w:w="1560" w:type="dxa"/>
          </w:tcPr>
          <w:p w14:paraId="5F1BB456" w14:textId="285A2CE7" w:rsidR="00D2709C" w:rsidRPr="0080449A" w:rsidRDefault="00D2709C" w:rsidP="00D2709C">
            <w:r w:rsidRPr="0080449A">
              <w:t>N/A</w:t>
            </w:r>
          </w:p>
        </w:tc>
        <w:tc>
          <w:tcPr>
            <w:tcW w:w="5386" w:type="dxa"/>
          </w:tcPr>
          <w:p w14:paraId="61CF291A" w14:textId="1DDF41F6" w:rsidR="00D2709C" w:rsidRDefault="00D2709C" w:rsidP="00D2709C">
            <w:r w:rsidRPr="0080449A">
              <w:t xml:space="preserve">SWPH has not constructed or redeveloped exterior paths of travel since January 1, 2017. Should SWPH do so in the future, accessibility </w:t>
            </w:r>
            <w:r w:rsidRPr="0080449A">
              <w:lastRenderedPageBreak/>
              <w:t>requirements would be followed as outlined in Ontario Regulation 191/11</w:t>
            </w:r>
            <w:r>
              <w:t xml:space="preserve">. </w:t>
            </w:r>
          </w:p>
          <w:p w14:paraId="44E22128" w14:textId="4AF78AE3" w:rsidR="00D2709C" w:rsidRPr="0080449A" w:rsidRDefault="00D2709C" w:rsidP="00D2709C"/>
        </w:tc>
        <w:tc>
          <w:tcPr>
            <w:tcW w:w="4820" w:type="dxa"/>
          </w:tcPr>
          <w:p w14:paraId="4E8BD8C8" w14:textId="77777777" w:rsidR="00D2709C" w:rsidRDefault="00D2709C" w:rsidP="00D2709C">
            <w:r>
              <w:lastRenderedPageBreak/>
              <w:t>Office Manager</w:t>
            </w:r>
          </w:p>
          <w:p w14:paraId="12079E43" w14:textId="399E9BE4" w:rsidR="00D2709C" w:rsidRPr="0080449A" w:rsidRDefault="00D2709C" w:rsidP="00D2709C">
            <w:r>
              <w:t>Director, Finance and Facilities</w:t>
            </w:r>
          </w:p>
        </w:tc>
      </w:tr>
      <w:tr w:rsidR="00D2709C" w:rsidRPr="0080449A" w14:paraId="5E34301B" w14:textId="494F2EE8" w:rsidTr="00740336">
        <w:tc>
          <w:tcPr>
            <w:tcW w:w="2127" w:type="dxa"/>
          </w:tcPr>
          <w:p w14:paraId="70A46094" w14:textId="1A1A1685" w:rsidR="00D2709C" w:rsidRPr="0080449A" w:rsidRDefault="00D2709C" w:rsidP="00D2709C">
            <w:r w:rsidRPr="0080449A">
              <w:t>Accessible Parking</w:t>
            </w:r>
          </w:p>
        </w:tc>
        <w:tc>
          <w:tcPr>
            <w:tcW w:w="2977" w:type="dxa"/>
          </w:tcPr>
          <w:p w14:paraId="6D19F90F" w14:textId="597C7D6A" w:rsidR="00D2709C" w:rsidRPr="0080449A" w:rsidRDefault="00D2709C" w:rsidP="00D2709C">
            <w:pPr>
              <w:pStyle w:val="Default"/>
              <w:rPr>
                <w:rFonts w:ascii="Arial" w:eastAsia="Times New Roman" w:hAnsi="Arial" w:cs="Arial"/>
              </w:rPr>
            </w:pPr>
            <w:r w:rsidRPr="0080449A">
              <w:rPr>
                <w:rFonts w:ascii="Arial" w:hAnsi="Arial" w:cs="Arial"/>
                <w:b/>
                <w:bCs/>
                <w:color w:val="212121"/>
              </w:rPr>
              <w:t xml:space="preserve">Sec. 80.32 </w:t>
            </w:r>
            <w:r w:rsidRPr="0080449A">
              <w:rPr>
                <w:rFonts w:ascii="Arial" w:hAnsi="Arial" w:cs="Arial"/>
                <w:color w:val="212121"/>
              </w:rPr>
              <w:t xml:space="preserve">Obligated organizations shall ensure that when constructing new or redeveloping off-street parking facilities that they intend to maintain; the off-street parking facilities meet the requirements set out in this Part. O. Reg. 413/12, s. 6. </w:t>
            </w:r>
          </w:p>
        </w:tc>
        <w:tc>
          <w:tcPr>
            <w:tcW w:w="1842" w:type="dxa"/>
          </w:tcPr>
          <w:p w14:paraId="1874B8DA" w14:textId="10958187" w:rsidR="00D2709C" w:rsidRPr="0080449A" w:rsidRDefault="00D2709C" w:rsidP="00D2709C">
            <w:r w:rsidRPr="0080449A">
              <w:t>January 1, 2017</w:t>
            </w:r>
          </w:p>
        </w:tc>
        <w:tc>
          <w:tcPr>
            <w:tcW w:w="1560" w:type="dxa"/>
          </w:tcPr>
          <w:p w14:paraId="50E4352C" w14:textId="31DD211B" w:rsidR="00D2709C" w:rsidRPr="0080449A" w:rsidRDefault="00D2709C" w:rsidP="00D2709C">
            <w:r w:rsidRPr="0080449A">
              <w:t>N/A</w:t>
            </w:r>
          </w:p>
        </w:tc>
        <w:tc>
          <w:tcPr>
            <w:tcW w:w="5386" w:type="dxa"/>
          </w:tcPr>
          <w:p w14:paraId="3E95F178" w14:textId="2003300E" w:rsidR="00D2709C" w:rsidRPr="0080449A" w:rsidRDefault="00D2709C" w:rsidP="00D2709C">
            <w:r w:rsidRPr="0080449A">
              <w:t>SWPH has not constructed or redeveloped any accessible parking since January 1, 2017. Should SWPH</w:t>
            </w:r>
            <w:r w:rsidR="001E7042">
              <w:t xml:space="preserve"> </w:t>
            </w:r>
            <w:r w:rsidRPr="0080449A">
              <w:t>do so in the future, accessibility requirements would be followed as per Ontario Regulation 191/11</w:t>
            </w:r>
            <w:r>
              <w:t>.</w:t>
            </w:r>
          </w:p>
        </w:tc>
        <w:tc>
          <w:tcPr>
            <w:tcW w:w="4820" w:type="dxa"/>
          </w:tcPr>
          <w:p w14:paraId="1AA9FAD3" w14:textId="77777777" w:rsidR="00D2709C" w:rsidRDefault="00D2709C" w:rsidP="00D2709C">
            <w:r>
              <w:t>Office Manager</w:t>
            </w:r>
          </w:p>
          <w:p w14:paraId="7DC74774" w14:textId="06082B7A" w:rsidR="00D2709C" w:rsidRPr="0080449A" w:rsidRDefault="00D2709C" w:rsidP="00D2709C">
            <w:r>
              <w:t>Director, Finance and Facilities</w:t>
            </w:r>
          </w:p>
        </w:tc>
      </w:tr>
      <w:tr w:rsidR="00D2709C" w:rsidRPr="0080449A" w14:paraId="4987D779" w14:textId="610D30CA" w:rsidTr="00740336">
        <w:tc>
          <w:tcPr>
            <w:tcW w:w="2127" w:type="dxa"/>
          </w:tcPr>
          <w:p w14:paraId="4E0FC978" w14:textId="17DE64AC" w:rsidR="00D2709C" w:rsidRPr="0080449A" w:rsidRDefault="00D2709C" w:rsidP="00D2709C">
            <w:r w:rsidRPr="0080449A">
              <w:t>Obtaining Services</w:t>
            </w:r>
          </w:p>
        </w:tc>
        <w:tc>
          <w:tcPr>
            <w:tcW w:w="2977" w:type="dxa"/>
          </w:tcPr>
          <w:p w14:paraId="200F3AE6" w14:textId="77777777" w:rsidR="00D2709C" w:rsidRPr="0080449A" w:rsidRDefault="00D2709C" w:rsidP="00D2709C">
            <w:pPr>
              <w:pStyle w:val="Default"/>
              <w:rPr>
                <w:rFonts w:ascii="Arial" w:hAnsi="Arial" w:cs="Arial"/>
              </w:rPr>
            </w:pPr>
            <w:r w:rsidRPr="0080449A">
              <w:rPr>
                <w:rFonts w:ascii="Arial" w:hAnsi="Arial" w:cs="Arial"/>
                <w:b/>
                <w:bCs/>
              </w:rPr>
              <w:t xml:space="preserve">Sec. 80.40 </w:t>
            </w:r>
            <w:r w:rsidRPr="0080449A">
              <w:rPr>
                <w:rFonts w:ascii="Arial" w:hAnsi="Arial" w:cs="Arial"/>
              </w:rPr>
              <w:t xml:space="preserve">1. All newly constructed service counters and fixed queuing guides. </w:t>
            </w:r>
          </w:p>
          <w:p w14:paraId="4EB0F2A3" w14:textId="2B78CC28" w:rsidR="00D2709C" w:rsidRPr="0080449A" w:rsidRDefault="00D2709C" w:rsidP="00D2709C">
            <w:pPr>
              <w:shd w:val="clear" w:color="auto" w:fill="FFFFFF"/>
              <w:spacing w:before="100" w:beforeAutospacing="1" w:after="100" w:afterAutospacing="1"/>
              <w:rPr>
                <w:rFonts w:eastAsia="Times New Roman"/>
                <w:lang w:eastAsia="en-CA"/>
              </w:rPr>
            </w:pPr>
            <w:r w:rsidRPr="0080449A">
              <w:t xml:space="preserve">2. All newly constructed or redeveloped waiting areas. O. Reg. 413/12, s. 6. </w:t>
            </w:r>
          </w:p>
        </w:tc>
        <w:tc>
          <w:tcPr>
            <w:tcW w:w="1842" w:type="dxa"/>
          </w:tcPr>
          <w:p w14:paraId="755927AF" w14:textId="39EBAEC4" w:rsidR="00D2709C" w:rsidRPr="0080449A" w:rsidRDefault="00D2709C" w:rsidP="00D2709C">
            <w:r w:rsidRPr="0080449A">
              <w:t>January 1, 2017</w:t>
            </w:r>
          </w:p>
        </w:tc>
        <w:tc>
          <w:tcPr>
            <w:tcW w:w="1560" w:type="dxa"/>
          </w:tcPr>
          <w:p w14:paraId="785467EC" w14:textId="3FAEAC1A" w:rsidR="00D2709C" w:rsidRPr="0080449A" w:rsidRDefault="00D2709C" w:rsidP="00D2709C">
            <w:r w:rsidRPr="0080449A">
              <w:t>N/A</w:t>
            </w:r>
          </w:p>
        </w:tc>
        <w:tc>
          <w:tcPr>
            <w:tcW w:w="5386" w:type="dxa"/>
          </w:tcPr>
          <w:p w14:paraId="151B1DD7" w14:textId="5B238275" w:rsidR="00D2709C" w:rsidRPr="0080449A" w:rsidRDefault="00D2709C" w:rsidP="00D2709C">
            <w:r w:rsidRPr="0080449A">
              <w:t>SWPH has not constructed new service counters or fixed queuing guides</w:t>
            </w:r>
            <w:r>
              <w:t xml:space="preserve">, nor has SWPH constructed new or redeveloped waiting areas. Should SWPH do so in the future, accessibility requirements outlined in Ontario Regulation 191/11 would be followed. </w:t>
            </w:r>
          </w:p>
          <w:p w14:paraId="5923B29B" w14:textId="5821C5D8" w:rsidR="00D2709C" w:rsidRPr="0080449A" w:rsidRDefault="00D2709C" w:rsidP="00D2709C"/>
        </w:tc>
        <w:tc>
          <w:tcPr>
            <w:tcW w:w="4820" w:type="dxa"/>
          </w:tcPr>
          <w:p w14:paraId="02788AFE" w14:textId="77777777" w:rsidR="00D2709C" w:rsidRDefault="00D2709C" w:rsidP="00D2709C">
            <w:r>
              <w:t>Office Manager</w:t>
            </w:r>
          </w:p>
          <w:p w14:paraId="521594C4" w14:textId="6578D111" w:rsidR="00D2709C" w:rsidRPr="0080449A" w:rsidRDefault="00D2709C" w:rsidP="00D2709C">
            <w:r>
              <w:t>Director, Finance and Facilities</w:t>
            </w:r>
          </w:p>
        </w:tc>
      </w:tr>
      <w:tr w:rsidR="00D2709C" w:rsidRPr="0080449A" w14:paraId="60DCA0BB" w14:textId="20F905D0" w:rsidTr="00740336">
        <w:tc>
          <w:tcPr>
            <w:tcW w:w="2127" w:type="dxa"/>
          </w:tcPr>
          <w:p w14:paraId="01DBB67C" w14:textId="07F6D36E" w:rsidR="00D2709C" w:rsidRPr="0080449A" w:rsidRDefault="00D2709C" w:rsidP="00D2709C">
            <w:r w:rsidRPr="0080449A">
              <w:lastRenderedPageBreak/>
              <w:t>Maintenance of Accessible Elements</w:t>
            </w:r>
          </w:p>
        </w:tc>
        <w:tc>
          <w:tcPr>
            <w:tcW w:w="2977" w:type="dxa"/>
          </w:tcPr>
          <w:p w14:paraId="77E1EE26" w14:textId="77777777" w:rsidR="00D2709C" w:rsidRPr="0080449A" w:rsidRDefault="00D2709C" w:rsidP="00D2709C">
            <w:pPr>
              <w:pStyle w:val="Default"/>
              <w:rPr>
                <w:rFonts w:ascii="Arial" w:hAnsi="Arial" w:cs="Arial"/>
              </w:rPr>
            </w:pPr>
            <w:r w:rsidRPr="0080449A">
              <w:rPr>
                <w:rFonts w:ascii="Arial" w:hAnsi="Arial" w:cs="Arial"/>
                <w:b/>
                <w:bCs/>
              </w:rPr>
              <w:t xml:space="preserve">Sec. 80.44 </w:t>
            </w:r>
            <w:r w:rsidRPr="0080449A">
              <w:rPr>
                <w:rFonts w:ascii="Arial" w:hAnsi="Arial" w:cs="Arial"/>
              </w:rPr>
              <w:t xml:space="preserve">1. Procedures for preventative and emergency maintenance of the accessible elements in public spaces </w:t>
            </w:r>
          </w:p>
          <w:p w14:paraId="64F46C97" w14:textId="337AE7C9" w:rsidR="00D2709C" w:rsidRPr="0080449A" w:rsidRDefault="00D2709C" w:rsidP="00D2709C">
            <w:pPr>
              <w:shd w:val="clear" w:color="auto" w:fill="FFFFFF"/>
              <w:spacing w:before="100" w:beforeAutospacing="1" w:after="100" w:afterAutospacing="1"/>
              <w:rPr>
                <w:rFonts w:eastAsia="Times New Roman"/>
                <w:lang w:eastAsia="en-CA"/>
              </w:rPr>
            </w:pPr>
            <w:r w:rsidRPr="0080449A">
              <w:t xml:space="preserve">2. Procedures for dealing with temporary disruptions when accessible elements required under this Part are not in working order. O. Reg. 413/12, s. 6. </w:t>
            </w:r>
          </w:p>
        </w:tc>
        <w:tc>
          <w:tcPr>
            <w:tcW w:w="1842" w:type="dxa"/>
          </w:tcPr>
          <w:p w14:paraId="0FF6C9E2" w14:textId="6C9D94CF" w:rsidR="00D2709C" w:rsidRPr="0080449A" w:rsidRDefault="00D2709C" w:rsidP="00D2709C">
            <w:r>
              <w:t>January 1, 2017</w:t>
            </w:r>
          </w:p>
        </w:tc>
        <w:tc>
          <w:tcPr>
            <w:tcW w:w="1560" w:type="dxa"/>
          </w:tcPr>
          <w:p w14:paraId="09AB923C" w14:textId="77777777" w:rsidR="00D2709C" w:rsidRPr="0080449A" w:rsidRDefault="00D2709C" w:rsidP="00D2709C"/>
        </w:tc>
        <w:tc>
          <w:tcPr>
            <w:tcW w:w="5386" w:type="dxa"/>
          </w:tcPr>
          <w:p w14:paraId="520EBB6E" w14:textId="15CCF0FF" w:rsidR="00D2709C" w:rsidRPr="001E7042" w:rsidRDefault="00D2709C" w:rsidP="00D2709C">
            <w:r w:rsidRPr="001E7042">
              <w:t xml:space="preserve">SWPH owned and leased properties require all </w:t>
            </w:r>
            <w:r w:rsidR="001E7042" w:rsidRPr="001E7042">
              <w:t xml:space="preserve">accessible </w:t>
            </w:r>
            <w:r w:rsidRPr="001E7042">
              <w:t xml:space="preserve">elements in common areas to be maintained.  All SWPH owned elements follow maintenance schedules as outlined under other legislation. SWPH ensures and audits that all leased properties also maintain accessible elements according to relevant legislation. </w:t>
            </w:r>
          </w:p>
          <w:p w14:paraId="23B7CB23" w14:textId="77777777" w:rsidR="00D2709C" w:rsidRPr="001E7042" w:rsidRDefault="00D2709C" w:rsidP="00D2709C"/>
          <w:p w14:paraId="1615C4F1" w14:textId="2BFCC811" w:rsidR="00D2709C" w:rsidRPr="0080449A" w:rsidRDefault="00D2709C" w:rsidP="00D2709C">
            <w:r w:rsidRPr="001E7042">
              <w:t>SWPH maintains and internal notification to relevant stakeholders any time temporary disruptions need to be communicated to both internally and externally.</w:t>
            </w:r>
            <w:r>
              <w:t xml:space="preserve"> </w:t>
            </w:r>
          </w:p>
        </w:tc>
        <w:tc>
          <w:tcPr>
            <w:tcW w:w="4820" w:type="dxa"/>
          </w:tcPr>
          <w:p w14:paraId="66F96C1E" w14:textId="77777777" w:rsidR="00D2709C" w:rsidRDefault="00D2709C" w:rsidP="00D2709C">
            <w:r>
              <w:t>Office Manager</w:t>
            </w:r>
          </w:p>
          <w:p w14:paraId="0C60B18A" w14:textId="09B59DCF" w:rsidR="00D2709C" w:rsidRPr="00000101" w:rsidRDefault="00D2709C" w:rsidP="00D2709C">
            <w:pPr>
              <w:rPr>
                <w:highlight w:val="yellow"/>
              </w:rPr>
            </w:pPr>
            <w:r>
              <w:t>Director, Finance and Facilities</w:t>
            </w:r>
          </w:p>
        </w:tc>
      </w:tr>
    </w:tbl>
    <w:p w14:paraId="468CF8C1" w14:textId="77777777" w:rsidR="00FB0228" w:rsidRPr="00E23EA6" w:rsidRDefault="00FB0228">
      <w:pPr>
        <w:rPr>
          <w:sz w:val="22"/>
          <w:szCs w:val="22"/>
        </w:rPr>
      </w:pPr>
    </w:p>
    <w:sectPr w:rsidR="00FB0228" w:rsidRPr="00E23EA6" w:rsidSect="00193B37">
      <w:footerReference w:type="default" r:id="rId14"/>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6D5C" w14:textId="77777777" w:rsidR="00BC7705" w:rsidRDefault="00BC7705" w:rsidP="00BC7705">
      <w:pPr>
        <w:spacing w:after="0" w:line="240" w:lineRule="auto"/>
      </w:pPr>
      <w:r>
        <w:separator/>
      </w:r>
    </w:p>
  </w:endnote>
  <w:endnote w:type="continuationSeparator" w:id="0">
    <w:p w14:paraId="25ACAA24" w14:textId="77777777" w:rsidR="00BC7705" w:rsidRDefault="00BC7705" w:rsidP="00BC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37694"/>
      <w:docPartObj>
        <w:docPartGallery w:val="Page Numbers (Bottom of Page)"/>
        <w:docPartUnique/>
      </w:docPartObj>
    </w:sdtPr>
    <w:sdtEndPr>
      <w:rPr>
        <w:color w:val="7F7F7F" w:themeColor="background1" w:themeShade="7F"/>
        <w:spacing w:val="60"/>
      </w:rPr>
    </w:sdtEndPr>
    <w:sdtContent>
      <w:p w14:paraId="05581FC0" w14:textId="77777777" w:rsidR="00BC7705" w:rsidRDefault="002859E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rsidR="00BC7705">
          <w:t xml:space="preserve"> | </w:t>
        </w:r>
        <w:r w:rsidR="00BC7705">
          <w:rPr>
            <w:color w:val="7F7F7F" w:themeColor="background1" w:themeShade="7F"/>
            <w:spacing w:val="60"/>
          </w:rPr>
          <w:t>Page</w:t>
        </w:r>
      </w:p>
    </w:sdtContent>
  </w:sdt>
  <w:p w14:paraId="20C6CCB6" w14:textId="77777777" w:rsidR="00BC7705" w:rsidRDefault="00BC7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E86F" w14:textId="77777777" w:rsidR="00BC7705" w:rsidRDefault="00BC7705" w:rsidP="00BC7705">
      <w:pPr>
        <w:spacing w:after="0" w:line="240" w:lineRule="auto"/>
      </w:pPr>
      <w:r>
        <w:separator/>
      </w:r>
    </w:p>
  </w:footnote>
  <w:footnote w:type="continuationSeparator" w:id="0">
    <w:p w14:paraId="7B88C5F3" w14:textId="77777777" w:rsidR="00BC7705" w:rsidRDefault="00BC7705" w:rsidP="00BC7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44D"/>
    <w:multiLevelType w:val="hybridMultilevel"/>
    <w:tmpl w:val="087CF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8542B8"/>
    <w:multiLevelType w:val="multilevel"/>
    <w:tmpl w:val="887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73B78"/>
    <w:multiLevelType w:val="hybridMultilevel"/>
    <w:tmpl w:val="42C01A44"/>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318211B"/>
    <w:multiLevelType w:val="hybridMultilevel"/>
    <w:tmpl w:val="C44C5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30544B"/>
    <w:multiLevelType w:val="hybridMultilevel"/>
    <w:tmpl w:val="05D86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470A3E"/>
    <w:multiLevelType w:val="hybridMultilevel"/>
    <w:tmpl w:val="C132483E"/>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AC64602"/>
    <w:multiLevelType w:val="multilevel"/>
    <w:tmpl w:val="0AF0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90B1D"/>
    <w:multiLevelType w:val="multilevel"/>
    <w:tmpl w:val="279CE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42390"/>
    <w:multiLevelType w:val="multilevel"/>
    <w:tmpl w:val="0CA67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93E44"/>
    <w:multiLevelType w:val="hybridMultilevel"/>
    <w:tmpl w:val="E38C155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A21711A"/>
    <w:multiLevelType w:val="multilevel"/>
    <w:tmpl w:val="6D5A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86751"/>
    <w:multiLevelType w:val="multilevel"/>
    <w:tmpl w:val="B9C6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563CE"/>
    <w:multiLevelType w:val="hybridMultilevel"/>
    <w:tmpl w:val="2A74F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FD1914"/>
    <w:multiLevelType w:val="hybridMultilevel"/>
    <w:tmpl w:val="95240EC0"/>
    <w:lvl w:ilvl="0" w:tplc="10090003">
      <w:start w:val="1"/>
      <w:numFmt w:val="bullet"/>
      <w:lvlText w:val="o"/>
      <w:lvlJc w:val="left"/>
      <w:pPr>
        <w:ind w:left="844" w:hanging="360"/>
      </w:pPr>
      <w:rPr>
        <w:rFonts w:ascii="Courier New" w:hAnsi="Courier New" w:cs="Courier New" w:hint="default"/>
      </w:rPr>
    </w:lvl>
    <w:lvl w:ilvl="1" w:tplc="10090003" w:tentative="1">
      <w:start w:val="1"/>
      <w:numFmt w:val="bullet"/>
      <w:lvlText w:val="o"/>
      <w:lvlJc w:val="left"/>
      <w:pPr>
        <w:ind w:left="1564" w:hanging="360"/>
      </w:pPr>
      <w:rPr>
        <w:rFonts w:ascii="Courier New" w:hAnsi="Courier New" w:cs="Courier New" w:hint="default"/>
      </w:rPr>
    </w:lvl>
    <w:lvl w:ilvl="2" w:tplc="10090005" w:tentative="1">
      <w:start w:val="1"/>
      <w:numFmt w:val="bullet"/>
      <w:lvlText w:val=""/>
      <w:lvlJc w:val="left"/>
      <w:pPr>
        <w:ind w:left="2284" w:hanging="360"/>
      </w:pPr>
      <w:rPr>
        <w:rFonts w:ascii="Wingdings" w:hAnsi="Wingdings" w:hint="default"/>
      </w:rPr>
    </w:lvl>
    <w:lvl w:ilvl="3" w:tplc="10090001" w:tentative="1">
      <w:start w:val="1"/>
      <w:numFmt w:val="bullet"/>
      <w:lvlText w:val=""/>
      <w:lvlJc w:val="left"/>
      <w:pPr>
        <w:ind w:left="3004" w:hanging="360"/>
      </w:pPr>
      <w:rPr>
        <w:rFonts w:ascii="Symbol" w:hAnsi="Symbol" w:hint="default"/>
      </w:rPr>
    </w:lvl>
    <w:lvl w:ilvl="4" w:tplc="10090003" w:tentative="1">
      <w:start w:val="1"/>
      <w:numFmt w:val="bullet"/>
      <w:lvlText w:val="o"/>
      <w:lvlJc w:val="left"/>
      <w:pPr>
        <w:ind w:left="3724" w:hanging="360"/>
      </w:pPr>
      <w:rPr>
        <w:rFonts w:ascii="Courier New" w:hAnsi="Courier New" w:cs="Courier New" w:hint="default"/>
      </w:rPr>
    </w:lvl>
    <w:lvl w:ilvl="5" w:tplc="10090005" w:tentative="1">
      <w:start w:val="1"/>
      <w:numFmt w:val="bullet"/>
      <w:lvlText w:val=""/>
      <w:lvlJc w:val="left"/>
      <w:pPr>
        <w:ind w:left="4444" w:hanging="360"/>
      </w:pPr>
      <w:rPr>
        <w:rFonts w:ascii="Wingdings" w:hAnsi="Wingdings" w:hint="default"/>
      </w:rPr>
    </w:lvl>
    <w:lvl w:ilvl="6" w:tplc="10090001" w:tentative="1">
      <w:start w:val="1"/>
      <w:numFmt w:val="bullet"/>
      <w:lvlText w:val=""/>
      <w:lvlJc w:val="left"/>
      <w:pPr>
        <w:ind w:left="5164" w:hanging="360"/>
      </w:pPr>
      <w:rPr>
        <w:rFonts w:ascii="Symbol" w:hAnsi="Symbol" w:hint="default"/>
      </w:rPr>
    </w:lvl>
    <w:lvl w:ilvl="7" w:tplc="10090003" w:tentative="1">
      <w:start w:val="1"/>
      <w:numFmt w:val="bullet"/>
      <w:lvlText w:val="o"/>
      <w:lvlJc w:val="left"/>
      <w:pPr>
        <w:ind w:left="5884" w:hanging="360"/>
      </w:pPr>
      <w:rPr>
        <w:rFonts w:ascii="Courier New" w:hAnsi="Courier New" w:cs="Courier New" w:hint="default"/>
      </w:rPr>
    </w:lvl>
    <w:lvl w:ilvl="8" w:tplc="10090005" w:tentative="1">
      <w:start w:val="1"/>
      <w:numFmt w:val="bullet"/>
      <w:lvlText w:val=""/>
      <w:lvlJc w:val="left"/>
      <w:pPr>
        <w:ind w:left="6604" w:hanging="360"/>
      </w:pPr>
      <w:rPr>
        <w:rFonts w:ascii="Wingdings" w:hAnsi="Wingdings" w:hint="default"/>
      </w:rPr>
    </w:lvl>
  </w:abstractNum>
  <w:abstractNum w:abstractNumId="14" w15:restartNumberingAfterBreak="0">
    <w:nsid w:val="398A1AFA"/>
    <w:multiLevelType w:val="hybridMultilevel"/>
    <w:tmpl w:val="448ACC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BB3521"/>
    <w:multiLevelType w:val="hybridMultilevel"/>
    <w:tmpl w:val="E25C69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CDC162C"/>
    <w:multiLevelType w:val="hybridMultilevel"/>
    <w:tmpl w:val="85D60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CE7EAB"/>
    <w:multiLevelType w:val="hybridMultilevel"/>
    <w:tmpl w:val="5E02021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0D7E0F"/>
    <w:multiLevelType w:val="hybridMultilevel"/>
    <w:tmpl w:val="AE78D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7D28E1"/>
    <w:multiLevelType w:val="multilevel"/>
    <w:tmpl w:val="E3CA5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152B3"/>
    <w:multiLevelType w:val="hybridMultilevel"/>
    <w:tmpl w:val="D07E1A3A"/>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0B26293"/>
    <w:multiLevelType w:val="hybridMultilevel"/>
    <w:tmpl w:val="F8AA533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14A268D"/>
    <w:multiLevelType w:val="hybridMultilevel"/>
    <w:tmpl w:val="4AF4EDE8"/>
    <w:lvl w:ilvl="0" w:tplc="217CD6F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3C82D23"/>
    <w:multiLevelType w:val="multilevel"/>
    <w:tmpl w:val="9E5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C548D"/>
    <w:multiLevelType w:val="hybridMultilevel"/>
    <w:tmpl w:val="EFB8EB2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01471EC"/>
    <w:multiLevelType w:val="hybridMultilevel"/>
    <w:tmpl w:val="8174DC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DD2281"/>
    <w:multiLevelType w:val="multilevel"/>
    <w:tmpl w:val="DF08C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E4C34"/>
    <w:multiLevelType w:val="multilevel"/>
    <w:tmpl w:val="7C9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282327">
    <w:abstractNumId w:val="15"/>
  </w:num>
  <w:num w:numId="2" w16cid:durableId="575437584">
    <w:abstractNumId w:val="23"/>
  </w:num>
  <w:num w:numId="3" w16cid:durableId="216479046">
    <w:abstractNumId w:val="11"/>
  </w:num>
  <w:num w:numId="4" w16cid:durableId="839199214">
    <w:abstractNumId w:val="4"/>
  </w:num>
  <w:num w:numId="5" w16cid:durableId="911113616">
    <w:abstractNumId w:val="1"/>
  </w:num>
  <w:num w:numId="6" w16cid:durableId="812017358">
    <w:abstractNumId w:val="6"/>
  </w:num>
  <w:num w:numId="7" w16cid:durableId="4015398">
    <w:abstractNumId w:val="10"/>
  </w:num>
  <w:num w:numId="8" w16cid:durableId="1309742715">
    <w:abstractNumId w:val="27"/>
  </w:num>
  <w:num w:numId="9" w16cid:durableId="848252540">
    <w:abstractNumId w:val="22"/>
  </w:num>
  <w:num w:numId="10" w16cid:durableId="1764495959">
    <w:abstractNumId w:val="14"/>
  </w:num>
  <w:num w:numId="11" w16cid:durableId="1635327718">
    <w:abstractNumId w:val="8"/>
  </w:num>
  <w:num w:numId="12" w16cid:durableId="1281379938">
    <w:abstractNumId w:val="16"/>
  </w:num>
  <w:num w:numId="13" w16cid:durableId="1939369088">
    <w:abstractNumId w:val="17"/>
  </w:num>
  <w:num w:numId="14" w16cid:durableId="1440445367">
    <w:abstractNumId w:val="21"/>
  </w:num>
  <w:num w:numId="15" w16cid:durableId="129329296">
    <w:abstractNumId w:val="7"/>
  </w:num>
  <w:num w:numId="16" w16cid:durableId="1486553361">
    <w:abstractNumId w:val="13"/>
  </w:num>
  <w:num w:numId="17" w16cid:durableId="1880968652">
    <w:abstractNumId w:val="24"/>
  </w:num>
  <w:num w:numId="18" w16cid:durableId="1420982623">
    <w:abstractNumId w:val="9"/>
  </w:num>
  <w:num w:numId="19" w16cid:durableId="392704128">
    <w:abstractNumId w:val="20"/>
  </w:num>
  <w:num w:numId="20" w16cid:durableId="2104376920">
    <w:abstractNumId w:val="26"/>
  </w:num>
  <w:num w:numId="21" w16cid:durableId="782922942">
    <w:abstractNumId w:val="19"/>
  </w:num>
  <w:num w:numId="22" w16cid:durableId="1001199598">
    <w:abstractNumId w:val="25"/>
  </w:num>
  <w:num w:numId="23" w16cid:durableId="1884176345">
    <w:abstractNumId w:val="5"/>
  </w:num>
  <w:num w:numId="24" w16cid:durableId="1928611472">
    <w:abstractNumId w:val="2"/>
  </w:num>
  <w:num w:numId="25" w16cid:durableId="48959300">
    <w:abstractNumId w:val="18"/>
  </w:num>
  <w:num w:numId="26" w16cid:durableId="1456292184">
    <w:abstractNumId w:val="3"/>
  </w:num>
  <w:num w:numId="27" w16cid:durableId="895895606">
    <w:abstractNumId w:val="0"/>
  </w:num>
  <w:num w:numId="28" w16cid:durableId="179585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6A"/>
    <w:rsid w:val="00000101"/>
    <w:rsid w:val="00003897"/>
    <w:rsid w:val="0000528B"/>
    <w:rsid w:val="00012B57"/>
    <w:rsid w:val="00013C96"/>
    <w:rsid w:val="000145A8"/>
    <w:rsid w:val="00015FAF"/>
    <w:rsid w:val="00022107"/>
    <w:rsid w:val="0002693E"/>
    <w:rsid w:val="00033759"/>
    <w:rsid w:val="00034B1F"/>
    <w:rsid w:val="000359CC"/>
    <w:rsid w:val="00036B02"/>
    <w:rsid w:val="000414E9"/>
    <w:rsid w:val="00043897"/>
    <w:rsid w:val="00054F63"/>
    <w:rsid w:val="0005752F"/>
    <w:rsid w:val="00057A02"/>
    <w:rsid w:val="00061EBA"/>
    <w:rsid w:val="0006382F"/>
    <w:rsid w:val="00067AE6"/>
    <w:rsid w:val="00076BAD"/>
    <w:rsid w:val="000776F9"/>
    <w:rsid w:val="000804B1"/>
    <w:rsid w:val="00083FF9"/>
    <w:rsid w:val="000965B0"/>
    <w:rsid w:val="000A3C94"/>
    <w:rsid w:val="000A7AF0"/>
    <w:rsid w:val="000B0DA0"/>
    <w:rsid w:val="000B229B"/>
    <w:rsid w:val="000B349B"/>
    <w:rsid w:val="000C423B"/>
    <w:rsid w:val="000C4CC0"/>
    <w:rsid w:val="000D4C04"/>
    <w:rsid w:val="000E58D3"/>
    <w:rsid w:val="000F3D42"/>
    <w:rsid w:val="000F63C3"/>
    <w:rsid w:val="000F7862"/>
    <w:rsid w:val="00100B1D"/>
    <w:rsid w:val="00100C4F"/>
    <w:rsid w:val="00101F60"/>
    <w:rsid w:val="00112CD6"/>
    <w:rsid w:val="00113392"/>
    <w:rsid w:val="0011564B"/>
    <w:rsid w:val="00122B39"/>
    <w:rsid w:val="00124100"/>
    <w:rsid w:val="00127C09"/>
    <w:rsid w:val="0013687A"/>
    <w:rsid w:val="0014179F"/>
    <w:rsid w:val="00143BBB"/>
    <w:rsid w:val="00144837"/>
    <w:rsid w:val="00144A7D"/>
    <w:rsid w:val="00144D82"/>
    <w:rsid w:val="00147BF6"/>
    <w:rsid w:val="00150B46"/>
    <w:rsid w:val="00154187"/>
    <w:rsid w:val="00154DBF"/>
    <w:rsid w:val="00164DC0"/>
    <w:rsid w:val="001675F4"/>
    <w:rsid w:val="00170D82"/>
    <w:rsid w:val="00171148"/>
    <w:rsid w:val="00171E64"/>
    <w:rsid w:val="00175E86"/>
    <w:rsid w:val="00176CE1"/>
    <w:rsid w:val="00182C70"/>
    <w:rsid w:val="001846EB"/>
    <w:rsid w:val="00193B37"/>
    <w:rsid w:val="001A223D"/>
    <w:rsid w:val="001A3A0E"/>
    <w:rsid w:val="001C0184"/>
    <w:rsid w:val="001C0979"/>
    <w:rsid w:val="001C29CD"/>
    <w:rsid w:val="001C5096"/>
    <w:rsid w:val="001C5DD7"/>
    <w:rsid w:val="001D1F0E"/>
    <w:rsid w:val="001E1EF3"/>
    <w:rsid w:val="001E7042"/>
    <w:rsid w:val="001E7073"/>
    <w:rsid w:val="001F164E"/>
    <w:rsid w:val="001F2ED0"/>
    <w:rsid w:val="001F3A4E"/>
    <w:rsid w:val="00204E9D"/>
    <w:rsid w:val="002050EA"/>
    <w:rsid w:val="00205441"/>
    <w:rsid w:val="002150F6"/>
    <w:rsid w:val="00216D08"/>
    <w:rsid w:val="00225F30"/>
    <w:rsid w:val="00234D5D"/>
    <w:rsid w:val="00242B00"/>
    <w:rsid w:val="00243366"/>
    <w:rsid w:val="00244E08"/>
    <w:rsid w:val="00251823"/>
    <w:rsid w:val="00251BE0"/>
    <w:rsid w:val="00253EC8"/>
    <w:rsid w:val="002554EF"/>
    <w:rsid w:val="00260A3E"/>
    <w:rsid w:val="002620F9"/>
    <w:rsid w:val="00262AD5"/>
    <w:rsid w:val="002645BB"/>
    <w:rsid w:val="0026681D"/>
    <w:rsid w:val="00270F4C"/>
    <w:rsid w:val="00271434"/>
    <w:rsid w:val="00272AE0"/>
    <w:rsid w:val="00273CFE"/>
    <w:rsid w:val="0027543E"/>
    <w:rsid w:val="0027667F"/>
    <w:rsid w:val="002859EF"/>
    <w:rsid w:val="00286B99"/>
    <w:rsid w:val="002947CF"/>
    <w:rsid w:val="002A167F"/>
    <w:rsid w:val="002A2217"/>
    <w:rsid w:val="002A41C6"/>
    <w:rsid w:val="002A451E"/>
    <w:rsid w:val="002A767D"/>
    <w:rsid w:val="002B060A"/>
    <w:rsid w:val="002B0CB1"/>
    <w:rsid w:val="002C01AA"/>
    <w:rsid w:val="002C052E"/>
    <w:rsid w:val="002D211F"/>
    <w:rsid w:val="002D54C0"/>
    <w:rsid w:val="002D71D3"/>
    <w:rsid w:val="002E482F"/>
    <w:rsid w:val="002E4C0F"/>
    <w:rsid w:val="002E7624"/>
    <w:rsid w:val="002F3F32"/>
    <w:rsid w:val="002F4E8A"/>
    <w:rsid w:val="003201CE"/>
    <w:rsid w:val="0032036C"/>
    <w:rsid w:val="003238BE"/>
    <w:rsid w:val="00331B88"/>
    <w:rsid w:val="00333554"/>
    <w:rsid w:val="00334C6D"/>
    <w:rsid w:val="00336C4C"/>
    <w:rsid w:val="00342300"/>
    <w:rsid w:val="0034245C"/>
    <w:rsid w:val="00342D58"/>
    <w:rsid w:val="00345844"/>
    <w:rsid w:val="00347414"/>
    <w:rsid w:val="0035650D"/>
    <w:rsid w:val="00357A83"/>
    <w:rsid w:val="00361B1F"/>
    <w:rsid w:val="0036439A"/>
    <w:rsid w:val="0036464C"/>
    <w:rsid w:val="00365B6E"/>
    <w:rsid w:val="00377A39"/>
    <w:rsid w:val="003801B6"/>
    <w:rsid w:val="00380ABD"/>
    <w:rsid w:val="0038126B"/>
    <w:rsid w:val="003812C4"/>
    <w:rsid w:val="00383C14"/>
    <w:rsid w:val="00386955"/>
    <w:rsid w:val="003952EF"/>
    <w:rsid w:val="00396FBC"/>
    <w:rsid w:val="003A37FF"/>
    <w:rsid w:val="003A779B"/>
    <w:rsid w:val="003B28C1"/>
    <w:rsid w:val="003C0B23"/>
    <w:rsid w:val="003C214F"/>
    <w:rsid w:val="003C4CB3"/>
    <w:rsid w:val="003C4EE0"/>
    <w:rsid w:val="003C5F57"/>
    <w:rsid w:val="003C67F6"/>
    <w:rsid w:val="003D0791"/>
    <w:rsid w:val="003D444A"/>
    <w:rsid w:val="003D62FD"/>
    <w:rsid w:val="003E1858"/>
    <w:rsid w:val="003E387E"/>
    <w:rsid w:val="003F5D01"/>
    <w:rsid w:val="004048F4"/>
    <w:rsid w:val="00407DB8"/>
    <w:rsid w:val="00412789"/>
    <w:rsid w:val="004138C7"/>
    <w:rsid w:val="00415921"/>
    <w:rsid w:val="0043112B"/>
    <w:rsid w:val="004318A9"/>
    <w:rsid w:val="00431ACD"/>
    <w:rsid w:val="0043507C"/>
    <w:rsid w:val="00440E1E"/>
    <w:rsid w:val="00441697"/>
    <w:rsid w:val="00445BA8"/>
    <w:rsid w:val="004517E4"/>
    <w:rsid w:val="004521C9"/>
    <w:rsid w:val="00461571"/>
    <w:rsid w:val="00461DBB"/>
    <w:rsid w:val="00463507"/>
    <w:rsid w:val="004662D5"/>
    <w:rsid w:val="00475FD8"/>
    <w:rsid w:val="00480C48"/>
    <w:rsid w:val="0048136A"/>
    <w:rsid w:val="00482CA1"/>
    <w:rsid w:val="004A285C"/>
    <w:rsid w:val="004A2CA9"/>
    <w:rsid w:val="004A5D5F"/>
    <w:rsid w:val="004A5F49"/>
    <w:rsid w:val="004B039C"/>
    <w:rsid w:val="004B1564"/>
    <w:rsid w:val="004C0960"/>
    <w:rsid w:val="004C0D75"/>
    <w:rsid w:val="004C22D6"/>
    <w:rsid w:val="004C243C"/>
    <w:rsid w:val="004C6186"/>
    <w:rsid w:val="004D3699"/>
    <w:rsid w:val="004D3A02"/>
    <w:rsid w:val="004E30EB"/>
    <w:rsid w:val="004E68C0"/>
    <w:rsid w:val="004E6E9E"/>
    <w:rsid w:val="004F0F4B"/>
    <w:rsid w:val="004F6CAE"/>
    <w:rsid w:val="004F6ED6"/>
    <w:rsid w:val="0050045A"/>
    <w:rsid w:val="0050336E"/>
    <w:rsid w:val="00505FDF"/>
    <w:rsid w:val="005060F1"/>
    <w:rsid w:val="00511315"/>
    <w:rsid w:val="005254DD"/>
    <w:rsid w:val="00527191"/>
    <w:rsid w:val="005362D6"/>
    <w:rsid w:val="005372D3"/>
    <w:rsid w:val="00544B1F"/>
    <w:rsid w:val="0054619A"/>
    <w:rsid w:val="0055546D"/>
    <w:rsid w:val="0056280D"/>
    <w:rsid w:val="00565B3B"/>
    <w:rsid w:val="00571BC0"/>
    <w:rsid w:val="005732D4"/>
    <w:rsid w:val="00577D06"/>
    <w:rsid w:val="00580475"/>
    <w:rsid w:val="00583431"/>
    <w:rsid w:val="00583823"/>
    <w:rsid w:val="00583B0E"/>
    <w:rsid w:val="00583BFD"/>
    <w:rsid w:val="00584FA9"/>
    <w:rsid w:val="0058598C"/>
    <w:rsid w:val="00586E17"/>
    <w:rsid w:val="00587571"/>
    <w:rsid w:val="0059299F"/>
    <w:rsid w:val="005B0FD6"/>
    <w:rsid w:val="005B5D80"/>
    <w:rsid w:val="005C09CD"/>
    <w:rsid w:val="005C1296"/>
    <w:rsid w:val="005C615D"/>
    <w:rsid w:val="005D3C61"/>
    <w:rsid w:val="005E2F58"/>
    <w:rsid w:val="005E3322"/>
    <w:rsid w:val="005E3D1E"/>
    <w:rsid w:val="005E5896"/>
    <w:rsid w:val="005E6605"/>
    <w:rsid w:val="005E6751"/>
    <w:rsid w:val="005E6F54"/>
    <w:rsid w:val="005F75CA"/>
    <w:rsid w:val="0060090A"/>
    <w:rsid w:val="00600AE1"/>
    <w:rsid w:val="006055CB"/>
    <w:rsid w:val="0061000D"/>
    <w:rsid w:val="00611762"/>
    <w:rsid w:val="006125E2"/>
    <w:rsid w:val="00615BDC"/>
    <w:rsid w:val="00622493"/>
    <w:rsid w:val="006340BE"/>
    <w:rsid w:val="006359F4"/>
    <w:rsid w:val="00637FC3"/>
    <w:rsid w:val="00644A32"/>
    <w:rsid w:val="00646E22"/>
    <w:rsid w:val="00646E4C"/>
    <w:rsid w:val="006532B7"/>
    <w:rsid w:val="00656B4D"/>
    <w:rsid w:val="00660D62"/>
    <w:rsid w:val="00664FA9"/>
    <w:rsid w:val="00665AF7"/>
    <w:rsid w:val="006671C4"/>
    <w:rsid w:val="00672778"/>
    <w:rsid w:val="00672FEF"/>
    <w:rsid w:val="0068545E"/>
    <w:rsid w:val="00690672"/>
    <w:rsid w:val="00696979"/>
    <w:rsid w:val="006A04CF"/>
    <w:rsid w:val="006A4CF1"/>
    <w:rsid w:val="006A5F35"/>
    <w:rsid w:val="006B2620"/>
    <w:rsid w:val="006B3FC0"/>
    <w:rsid w:val="006B4FFA"/>
    <w:rsid w:val="006B5583"/>
    <w:rsid w:val="006C061C"/>
    <w:rsid w:val="006C23C8"/>
    <w:rsid w:val="006C36F9"/>
    <w:rsid w:val="006C4213"/>
    <w:rsid w:val="006C73F7"/>
    <w:rsid w:val="006D2543"/>
    <w:rsid w:val="006D785F"/>
    <w:rsid w:val="006F488D"/>
    <w:rsid w:val="006F53A7"/>
    <w:rsid w:val="006F74A3"/>
    <w:rsid w:val="0070183B"/>
    <w:rsid w:val="00703097"/>
    <w:rsid w:val="0070459F"/>
    <w:rsid w:val="00706512"/>
    <w:rsid w:val="00723F39"/>
    <w:rsid w:val="00740336"/>
    <w:rsid w:val="00741194"/>
    <w:rsid w:val="00741CD3"/>
    <w:rsid w:val="00742E5C"/>
    <w:rsid w:val="00742F79"/>
    <w:rsid w:val="00743C04"/>
    <w:rsid w:val="00753110"/>
    <w:rsid w:val="007536F5"/>
    <w:rsid w:val="00754E8F"/>
    <w:rsid w:val="00762710"/>
    <w:rsid w:val="007676D0"/>
    <w:rsid w:val="007739D0"/>
    <w:rsid w:val="00775355"/>
    <w:rsid w:val="00776F25"/>
    <w:rsid w:val="007819FD"/>
    <w:rsid w:val="0078204B"/>
    <w:rsid w:val="00785D32"/>
    <w:rsid w:val="0079240F"/>
    <w:rsid w:val="007951BB"/>
    <w:rsid w:val="00795C3F"/>
    <w:rsid w:val="007A019F"/>
    <w:rsid w:val="007A5C01"/>
    <w:rsid w:val="007C0AAD"/>
    <w:rsid w:val="007C1CEF"/>
    <w:rsid w:val="007C1F6E"/>
    <w:rsid w:val="007C2F61"/>
    <w:rsid w:val="007C2F8D"/>
    <w:rsid w:val="007C7D0F"/>
    <w:rsid w:val="007D31B9"/>
    <w:rsid w:val="007D3C63"/>
    <w:rsid w:val="007D4DD2"/>
    <w:rsid w:val="007E2976"/>
    <w:rsid w:val="007E4876"/>
    <w:rsid w:val="007E7AF8"/>
    <w:rsid w:val="007F043C"/>
    <w:rsid w:val="007F1DBD"/>
    <w:rsid w:val="007F79AA"/>
    <w:rsid w:val="007F7D6F"/>
    <w:rsid w:val="007F7EC0"/>
    <w:rsid w:val="00801457"/>
    <w:rsid w:val="0080175D"/>
    <w:rsid w:val="008033C1"/>
    <w:rsid w:val="0080449A"/>
    <w:rsid w:val="008138A5"/>
    <w:rsid w:val="00814151"/>
    <w:rsid w:val="00817967"/>
    <w:rsid w:val="0082127F"/>
    <w:rsid w:val="008213EF"/>
    <w:rsid w:val="00822270"/>
    <w:rsid w:val="00822C28"/>
    <w:rsid w:val="00827549"/>
    <w:rsid w:val="00835674"/>
    <w:rsid w:val="0084200E"/>
    <w:rsid w:val="00845E5D"/>
    <w:rsid w:val="0085218A"/>
    <w:rsid w:val="00853F1D"/>
    <w:rsid w:val="00854309"/>
    <w:rsid w:val="008549F9"/>
    <w:rsid w:val="00854F8E"/>
    <w:rsid w:val="00866073"/>
    <w:rsid w:val="008667BD"/>
    <w:rsid w:val="00870517"/>
    <w:rsid w:val="00872C28"/>
    <w:rsid w:val="00876823"/>
    <w:rsid w:val="00876E96"/>
    <w:rsid w:val="00877868"/>
    <w:rsid w:val="00882C2B"/>
    <w:rsid w:val="008832AB"/>
    <w:rsid w:val="00887F1A"/>
    <w:rsid w:val="00894325"/>
    <w:rsid w:val="00894D7A"/>
    <w:rsid w:val="008A10D2"/>
    <w:rsid w:val="008A1DA0"/>
    <w:rsid w:val="008A28A7"/>
    <w:rsid w:val="008A2CED"/>
    <w:rsid w:val="008B0146"/>
    <w:rsid w:val="008B06BB"/>
    <w:rsid w:val="008B3492"/>
    <w:rsid w:val="008B6CD8"/>
    <w:rsid w:val="008B7F24"/>
    <w:rsid w:val="008C30F6"/>
    <w:rsid w:val="008C3B2E"/>
    <w:rsid w:val="008C7DAA"/>
    <w:rsid w:val="008D0C60"/>
    <w:rsid w:val="008D2098"/>
    <w:rsid w:val="008D3A5D"/>
    <w:rsid w:val="008D3F4D"/>
    <w:rsid w:val="008E12AB"/>
    <w:rsid w:val="008E27A4"/>
    <w:rsid w:val="008E7FF2"/>
    <w:rsid w:val="008F5638"/>
    <w:rsid w:val="008F759F"/>
    <w:rsid w:val="00902562"/>
    <w:rsid w:val="00906E52"/>
    <w:rsid w:val="009071E8"/>
    <w:rsid w:val="0091015C"/>
    <w:rsid w:val="00912698"/>
    <w:rsid w:val="009145AC"/>
    <w:rsid w:val="00921CBE"/>
    <w:rsid w:val="009245CD"/>
    <w:rsid w:val="009251C9"/>
    <w:rsid w:val="00925CAA"/>
    <w:rsid w:val="00925EDE"/>
    <w:rsid w:val="009263C6"/>
    <w:rsid w:val="00927170"/>
    <w:rsid w:val="009309D3"/>
    <w:rsid w:val="009329D8"/>
    <w:rsid w:val="00932EA2"/>
    <w:rsid w:val="009353C6"/>
    <w:rsid w:val="00936E98"/>
    <w:rsid w:val="00937CF4"/>
    <w:rsid w:val="00940622"/>
    <w:rsid w:val="00943FE3"/>
    <w:rsid w:val="00945430"/>
    <w:rsid w:val="00946565"/>
    <w:rsid w:val="00947743"/>
    <w:rsid w:val="00957317"/>
    <w:rsid w:val="00961B53"/>
    <w:rsid w:val="00961E83"/>
    <w:rsid w:val="00970BBD"/>
    <w:rsid w:val="009715FD"/>
    <w:rsid w:val="009800A4"/>
    <w:rsid w:val="0098296D"/>
    <w:rsid w:val="00982AD9"/>
    <w:rsid w:val="00985300"/>
    <w:rsid w:val="00987C45"/>
    <w:rsid w:val="00991EFF"/>
    <w:rsid w:val="009A52AC"/>
    <w:rsid w:val="009B1876"/>
    <w:rsid w:val="009B3473"/>
    <w:rsid w:val="009B3BB8"/>
    <w:rsid w:val="009B4761"/>
    <w:rsid w:val="009B6506"/>
    <w:rsid w:val="009C29BD"/>
    <w:rsid w:val="009C40E4"/>
    <w:rsid w:val="009D033A"/>
    <w:rsid w:val="009D13A8"/>
    <w:rsid w:val="009E1AE7"/>
    <w:rsid w:val="009E61DB"/>
    <w:rsid w:val="009E68E4"/>
    <w:rsid w:val="009F06FE"/>
    <w:rsid w:val="009F5EC7"/>
    <w:rsid w:val="00A012EF"/>
    <w:rsid w:val="00A015F8"/>
    <w:rsid w:val="00A0160D"/>
    <w:rsid w:val="00A01867"/>
    <w:rsid w:val="00A0641E"/>
    <w:rsid w:val="00A0798C"/>
    <w:rsid w:val="00A10540"/>
    <w:rsid w:val="00A124B1"/>
    <w:rsid w:val="00A15261"/>
    <w:rsid w:val="00A16136"/>
    <w:rsid w:val="00A17A5F"/>
    <w:rsid w:val="00A21564"/>
    <w:rsid w:val="00A2378F"/>
    <w:rsid w:val="00A32F93"/>
    <w:rsid w:val="00A358E2"/>
    <w:rsid w:val="00A41FBC"/>
    <w:rsid w:val="00A42F36"/>
    <w:rsid w:val="00A46BE4"/>
    <w:rsid w:val="00A51799"/>
    <w:rsid w:val="00A533C1"/>
    <w:rsid w:val="00A649A0"/>
    <w:rsid w:val="00A6742D"/>
    <w:rsid w:val="00A725E0"/>
    <w:rsid w:val="00A74146"/>
    <w:rsid w:val="00A81FE9"/>
    <w:rsid w:val="00A83CB4"/>
    <w:rsid w:val="00A83F4E"/>
    <w:rsid w:val="00A8410B"/>
    <w:rsid w:val="00AA2865"/>
    <w:rsid w:val="00AA5142"/>
    <w:rsid w:val="00AA7483"/>
    <w:rsid w:val="00AA7836"/>
    <w:rsid w:val="00AB0301"/>
    <w:rsid w:val="00AB3AED"/>
    <w:rsid w:val="00AB66E8"/>
    <w:rsid w:val="00AC10CC"/>
    <w:rsid w:val="00AC2560"/>
    <w:rsid w:val="00AC3E91"/>
    <w:rsid w:val="00AD2005"/>
    <w:rsid w:val="00AD4D0F"/>
    <w:rsid w:val="00AD5DE5"/>
    <w:rsid w:val="00AE0EC2"/>
    <w:rsid w:val="00AE1561"/>
    <w:rsid w:val="00AE25BE"/>
    <w:rsid w:val="00AE347D"/>
    <w:rsid w:val="00AE39C8"/>
    <w:rsid w:val="00AE6676"/>
    <w:rsid w:val="00AF1CD4"/>
    <w:rsid w:val="00AF368A"/>
    <w:rsid w:val="00AF567D"/>
    <w:rsid w:val="00AF5C58"/>
    <w:rsid w:val="00B03D44"/>
    <w:rsid w:val="00B075CF"/>
    <w:rsid w:val="00B07929"/>
    <w:rsid w:val="00B106A4"/>
    <w:rsid w:val="00B1614E"/>
    <w:rsid w:val="00B17D55"/>
    <w:rsid w:val="00B25A6A"/>
    <w:rsid w:val="00B2660E"/>
    <w:rsid w:val="00B26F80"/>
    <w:rsid w:val="00B30A6F"/>
    <w:rsid w:val="00B316C7"/>
    <w:rsid w:val="00B3362C"/>
    <w:rsid w:val="00B34AEB"/>
    <w:rsid w:val="00B40D1E"/>
    <w:rsid w:val="00B41383"/>
    <w:rsid w:val="00B4262F"/>
    <w:rsid w:val="00B42CB0"/>
    <w:rsid w:val="00B4696C"/>
    <w:rsid w:val="00B52FB7"/>
    <w:rsid w:val="00B533B1"/>
    <w:rsid w:val="00B6194D"/>
    <w:rsid w:val="00B61F84"/>
    <w:rsid w:val="00B637B8"/>
    <w:rsid w:val="00B65FF0"/>
    <w:rsid w:val="00B66CFF"/>
    <w:rsid w:val="00B706B5"/>
    <w:rsid w:val="00B70B18"/>
    <w:rsid w:val="00B75137"/>
    <w:rsid w:val="00B752A7"/>
    <w:rsid w:val="00B82757"/>
    <w:rsid w:val="00B85CE8"/>
    <w:rsid w:val="00B90A0F"/>
    <w:rsid w:val="00B91CB4"/>
    <w:rsid w:val="00B95716"/>
    <w:rsid w:val="00B9779D"/>
    <w:rsid w:val="00BA5235"/>
    <w:rsid w:val="00BB4F9F"/>
    <w:rsid w:val="00BB5DF3"/>
    <w:rsid w:val="00BC0DA3"/>
    <w:rsid w:val="00BC194C"/>
    <w:rsid w:val="00BC7705"/>
    <w:rsid w:val="00BD12FD"/>
    <w:rsid w:val="00BD3BB4"/>
    <w:rsid w:val="00BD6E2E"/>
    <w:rsid w:val="00BD744B"/>
    <w:rsid w:val="00BE29D9"/>
    <w:rsid w:val="00BE2A05"/>
    <w:rsid w:val="00BE60AF"/>
    <w:rsid w:val="00BE7495"/>
    <w:rsid w:val="00C04BB6"/>
    <w:rsid w:val="00C15FC0"/>
    <w:rsid w:val="00C260D5"/>
    <w:rsid w:val="00C34312"/>
    <w:rsid w:val="00C37DFA"/>
    <w:rsid w:val="00C37FD0"/>
    <w:rsid w:val="00C402F4"/>
    <w:rsid w:val="00C40925"/>
    <w:rsid w:val="00C46C8F"/>
    <w:rsid w:val="00C5005E"/>
    <w:rsid w:val="00C527C1"/>
    <w:rsid w:val="00C54066"/>
    <w:rsid w:val="00C54EBC"/>
    <w:rsid w:val="00C57E00"/>
    <w:rsid w:val="00C63939"/>
    <w:rsid w:val="00C754D4"/>
    <w:rsid w:val="00C80DF0"/>
    <w:rsid w:val="00C847FA"/>
    <w:rsid w:val="00C942AC"/>
    <w:rsid w:val="00C9547D"/>
    <w:rsid w:val="00C95635"/>
    <w:rsid w:val="00C97CFD"/>
    <w:rsid w:val="00CA354B"/>
    <w:rsid w:val="00CA5C23"/>
    <w:rsid w:val="00CA76C8"/>
    <w:rsid w:val="00CB74F1"/>
    <w:rsid w:val="00CB7CB1"/>
    <w:rsid w:val="00CC7E7C"/>
    <w:rsid w:val="00CD5C4C"/>
    <w:rsid w:val="00CD736A"/>
    <w:rsid w:val="00CE1AAC"/>
    <w:rsid w:val="00CF4344"/>
    <w:rsid w:val="00D20656"/>
    <w:rsid w:val="00D23E4F"/>
    <w:rsid w:val="00D26B6C"/>
    <w:rsid w:val="00D2709C"/>
    <w:rsid w:val="00D300BF"/>
    <w:rsid w:val="00D30B0A"/>
    <w:rsid w:val="00D456EF"/>
    <w:rsid w:val="00D47CB9"/>
    <w:rsid w:val="00D534C4"/>
    <w:rsid w:val="00D53F0B"/>
    <w:rsid w:val="00D54150"/>
    <w:rsid w:val="00D6087A"/>
    <w:rsid w:val="00D61581"/>
    <w:rsid w:val="00D67E6B"/>
    <w:rsid w:val="00D718ED"/>
    <w:rsid w:val="00D74ECE"/>
    <w:rsid w:val="00D80909"/>
    <w:rsid w:val="00D84EBB"/>
    <w:rsid w:val="00D8615E"/>
    <w:rsid w:val="00D939A0"/>
    <w:rsid w:val="00D9789F"/>
    <w:rsid w:val="00DA4EB4"/>
    <w:rsid w:val="00DB616D"/>
    <w:rsid w:val="00DC15C0"/>
    <w:rsid w:val="00DD18DD"/>
    <w:rsid w:val="00DD250F"/>
    <w:rsid w:val="00DD7A04"/>
    <w:rsid w:val="00DE3E6B"/>
    <w:rsid w:val="00DE4D5B"/>
    <w:rsid w:val="00DF133A"/>
    <w:rsid w:val="00DF191D"/>
    <w:rsid w:val="00DF2E97"/>
    <w:rsid w:val="00DF38B9"/>
    <w:rsid w:val="00DF5D30"/>
    <w:rsid w:val="00DF6FF5"/>
    <w:rsid w:val="00E038CD"/>
    <w:rsid w:val="00E108B7"/>
    <w:rsid w:val="00E12D11"/>
    <w:rsid w:val="00E17B35"/>
    <w:rsid w:val="00E17E29"/>
    <w:rsid w:val="00E20348"/>
    <w:rsid w:val="00E2035F"/>
    <w:rsid w:val="00E22C6B"/>
    <w:rsid w:val="00E23EA6"/>
    <w:rsid w:val="00E244BC"/>
    <w:rsid w:val="00E25660"/>
    <w:rsid w:val="00E27E22"/>
    <w:rsid w:val="00E36390"/>
    <w:rsid w:val="00E37162"/>
    <w:rsid w:val="00E40357"/>
    <w:rsid w:val="00E43F3F"/>
    <w:rsid w:val="00E45C85"/>
    <w:rsid w:val="00E513D1"/>
    <w:rsid w:val="00E52429"/>
    <w:rsid w:val="00E52C3D"/>
    <w:rsid w:val="00E5391A"/>
    <w:rsid w:val="00E55442"/>
    <w:rsid w:val="00E55A81"/>
    <w:rsid w:val="00E61AD9"/>
    <w:rsid w:val="00E61C6B"/>
    <w:rsid w:val="00E664D3"/>
    <w:rsid w:val="00E702CD"/>
    <w:rsid w:val="00E71692"/>
    <w:rsid w:val="00E774B2"/>
    <w:rsid w:val="00E80D47"/>
    <w:rsid w:val="00E83DD5"/>
    <w:rsid w:val="00E87834"/>
    <w:rsid w:val="00E91F26"/>
    <w:rsid w:val="00EB6865"/>
    <w:rsid w:val="00EB68FB"/>
    <w:rsid w:val="00EC43B6"/>
    <w:rsid w:val="00EC69F6"/>
    <w:rsid w:val="00ED06A5"/>
    <w:rsid w:val="00ED1780"/>
    <w:rsid w:val="00EE2D65"/>
    <w:rsid w:val="00EF0BAB"/>
    <w:rsid w:val="00EF230B"/>
    <w:rsid w:val="00EF3688"/>
    <w:rsid w:val="00EF3E23"/>
    <w:rsid w:val="00F00F5F"/>
    <w:rsid w:val="00F03746"/>
    <w:rsid w:val="00F05938"/>
    <w:rsid w:val="00F1553E"/>
    <w:rsid w:val="00F1638D"/>
    <w:rsid w:val="00F16DF6"/>
    <w:rsid w:val="00F213FD"/>
    <w:rsid w:val="00F226EF"/>
    <w:rsid w:val="00F32B21"/>
    <w:rsid w:val="00F42749"/>
    <w:rsid w:val="00F444C4"/>
    <w:rsid w:val="00F454B0"/>
    <w:rsid w:val="00F528EC"/>
    <w:rsid w:val="00F5539F"/>
    <w:rsid w:val="00F57D47"/>
    <w:rsid w:val="00F622FA"/>
    <w:rsid w:val="00F646BB"/>
    <w:rsid w:val="00F66583"/>
    <w:rsid w:val="00F71EA4"/>
    <w:rsid w:val="00F72061"/>
    <w:rsid w:val="00F736D3"/>
    <w:rsid w:val="00F7427C"/>
    <w:rsid w:val="00F75960"/>
    <w:rsid w:val="00F75E49"/>
    <w:rsid w:val="00F930DF"/>
    <w:rsid w:val="00F93D29"/>
    <w:rsid w:val="00F95F00"/>
    <w:rsid w:val="00F9689F"/>
    <w:rsid w:val="00F97D0C"/>
    <w:rsid w:val="00FB0228"/>
    <w:rsid w:val="00FB1F42"/>
    <w:rsid w:val="00FB5198"/>
    <w:rsid w:val="00FB51DC"/>
    <w:rsid w:val="00FB74AE"/>
    <w:rsid w:val="00FC14E9"/>
    <w:rsid w:val="00FC2D71"/>
    <w:rsid w:val="00FC7CF6"/>
    <w:rsid w:val="00FD0E2A"/>
    <w:rsid w:val="00FD2E9F"/>
    <w:rsid w:val="00FD5A17"/>
    <w:rsid w:val="00FD78F8"/>
    <w:rsid w:val="00FD7DCE"/>
    <w:rsid w:val="00FE1882"/>
    <w:rsid w:val="00FF0C15"/>
    <w:rsid w:val="00FF0E84"/>
    <w:rsid w:val="00FF33BB"/>
    <w:rsid w:val="00FF3868"/>
    <w:rsid w:val="00FF5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653B"/>
  <w15:docId w15:val="{129B86F4-8F62-43DE-9F96-89C5153D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A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5A6A"/>
    <w:pPr>
      <w:spacing w:after="0" w:line="240" w:lineRule="auto"/>
      <w:ind w:left="720" w:hanging="360"/>
      <w:contextualSpacing/>
    </w:pPr>
    <w:rPr>
      <w:rFonts w:cstheme="minorBidi"/>
      <w:szCs w:val="22"/>
      <w:lang w:val="en-US"/>
    </w:rPr>
  </w:style>
  <w:style w:type="character" w:styleId="Hyperlink">
    <w:name w:val="Hyperlink"/>
    <w:basedOn w:val="DefaultParagraphFont"/>
    <w:uiPriority w:val="99"/>
    <w:unhideWhenUsed/>
    <w:rsid w:val="00E25660"/>
    <w:rPr>
      <w:color w:val="0000FF" w:themeColor="hyperlink"/>
      <w:u w:val="single"/>
    </w:rPr>
  </w:style>
  <w:style w:type="paragraph" w:styleId="NormalWeb">
    <w:name w:val="Normal (Web)"/>
    <w:basedOn w:val="Normal"/>
    <w:uiPriority w:val="99"/>
    <w:semiHidden/>
    <w:unhideWhenUsed/>
    <w:rsid w:val="00262AD5"/>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caps">
    <w:name w:val="caps"/>
    <w:basedOn w:val="DefaultParagraphFont"/>
    <w:rsid w:val="00262AD5"/>
  </w:style>
  <w:style w:type="paragraph" w:styleId="Header">
    <w:name w:val="header"/>
    <w:basedOn w:val="Normal"/>
    <w:link w:val="HeaderChar"/>
    <w:uiPriority w:val="99"/>
    <w:unhideWhenUsed/>
    <w:rsid w:val="00BC7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05"/>
  </w:style>
  <w:style w:type="paragraph" w:styleId="Footer">
    <w:name w:val="footer"/>
    <w:basedOn w:val="Normal"/>
    <w:link w:val="FooterChar"/>
    <w:uiPriority w:val="99"/>
    <w:unhideWhenUsed/>
    <w:rsid w:val="00BC7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05"/>
  </w:style>
  <w:style w:type="paragraph" w:customStyle="1" w:styleId="Default">
    <w:name w:val="Default"/>
    <w:rsid w:val="004F6ED6"/>
    <w:pPr>
      <w:autoSpaceDE w:val="0"/>
      <w:autoSpaceDN w:val="0"/>
      <w:adjustRightInd w:val="0"/>
      <w:spacing w:after="0" w:line="240" w:lineRule="auto"/>
    </w:pPr>
    <w:rPr>
      <w:rFonts w:ascii="Calibri" w:hAnsi="Calibri" w:cs="Calibri"/>
      <w:color w:val="000000"/>
    </w:rPr>
  </w:style>
  <w:style w:type="character" w:styleId="UnresolvedMention">
    <w:name w:val="Unresolved Mention"/>
    <w:basedOn w:val="DefaultParagraphFont"/>
    <w:uiPriority w:val="99"/>
    <w:semiHidden/>
    <w:unhideWhenUsed/>
    <w:rsid w:val="00F2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733751">
      <w:bodyDiv w:val="1"/>
      <w:marLeft w:val="0"/>
      <w:marRight w:val="0"/>
      <w:marTop w:val="0"/>
      <w:marBottom w:val="0"/>
      <w:divBdr>
        <w:top w:val="none" w:sz="0" w:space="0" w:color="auto"/>
        <w:left w:val="none" w:sz="0" w:space="0" w:color="auto"/>
        <w:bottom w:val="none" w:sz="0" w:space="0" w:color="auto"/>
        <w:right w:val="none" w:sz="0" w:space="0" w:color="auto"/>
      </w:divBdr>
    </w:div>
    <w:div w:id="16154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publichealth.ca" TargetMode="External"/><Relationship Id="rId13" Type="http://schemas.openxmlformats.org/officeDocument/2006/relationships/hyperlink" Target="https://www.swpublichealth.ca/en/about-us/accessibility.aspx" TargetMode="External"/><Relationship Id="rId3" Type="http://schemas.openxmlformats.org/officeDocument/2006/relationships/settings" Target="settings.xml"/><Relationship Id="rId7" Type="http://schemas.openxmlformats.org/officeDocument/2006/relationships/hyperlink" Target="http://www.swpublichealth.ca" TargetMode="External"/><Relationship Id="rId12" Type="http://schemas.openxmlformats.org/officeDocument/2006/relationships/hyperlink" Target="https://www.ontario.ca/laws/statute/05a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swpublichealth.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cessibility@swpublichealth.ca" TargetMode="External"/><Relationship Id="rId4" Type="http://schemas.openxmlformats.org/officeDocument/2006/relationships/webSettings" Target="webSettings.xml"/><Relationship Id="rId9" Type="http://schemas.openxmlformats.org/officeDocument/2006/relationships/hyperlink" Target="mailto:information@swpublichealth.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13</Pages>
  <Words>2871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Elgin St. Thomas Public Health</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ostojic-middelv</dc:creator>
  <cp:lastModifiedBy>Vanda Ostojic-Middel</cp:lastModifiedBy>
  <cp:revision>11</cp:revision>
  <dcterms:created xsi:type="dcterms:W3CDTF">2023-02-08T15:06:00Z</dcterms:created>
  <dcterms:modified xsi:type="dcterms:W3CDTF">2023-02-21T18:32:00Z</dcterms:modified>
</cp:coreProperties>
</file>